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488B" w14:textId="77777777" w:rsidR="00785F44" w:rsidRDefault="00000000">
      <w:pPr>
        <w:rPr>
          <w:b/>
        </w:rPr>
      </w:pPr>
      <w:r>
        <w:rPr>
          <w:b/>
        </w:rPr>
        <w:t>Ohio Transfer 36 Arts and Humanities Learning Outcome Template</w:t>
      </w:r>
    </w:p>
    <w:p w14:paraId="020AD772" w14:textId="77777777" w:rsidR="00785F44" w:rsidRDefault="00785F44"/>
    <w:tbl>
      <w:tblPr>
        <w:tblStyle w:val="a"/>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4219"/>
        <w:gridCol w:w="3385"/>
        <w:gridCol w:w="3388"/>
        <w:gridCol w:w="3388"/>
      </w:tblGrid>
      <w:tr w:rsidR="00785F44" w14:paraId="4F92FA2F" w14:textId="77777777" w:rsidTr="00383CE3">
        <w:trPr>
          <w:trHeight w:val="1655"/>
        </w:trPr>
        <w:tc>
          <w:tcPr>
            <w:tcW w:w="146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7DA39" w14:textId="77777777" w:rsidR="00785F44" w:rsidRDefault="00785F44">
            <w:pPr>
              <w:jc w:val="center"/>
              <w:rPr>
                <w:b/>
              </w:rPr>
            </w:pPr>
          </w:p>
          <w:p w14:paraId="637BA42F" w14:textId="77777777" w:rsidR="00785F44" w:rsidRDefault="00000000">
            <w:pPr>
              <w:jc w:val="center"/>
              <w:rPr>
                <w:b/>
              </w:rPr>
            </w:pPr>
            <w:r>
              <w:rPr>
                <w:b/>
              </w:rPr>
              <w:t>Ohio Transfer 36 Learning Outcomes</w:t>
            </w:r>
          </w:p>
        </w:tc>
        <w:tc>
          <w:tcPr>
            <w:tcW w:w="1177"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9568A00" w14:textId="77777777" w:rsidR="00785F44" w:rsidRDefault="00785F44">
            <w:pPr>
              <w:jc w:val="center"/>
              <w:rPr>
                <w:b/>
              </w:rPr>
            </w:pPr>
          </w:p>
          <w:p w14:paraId="27F8DD32" w14:textId="77777777" w:rsidR="00785F44" w:rsidRDefault="00000000">
            <w:pPr>
              <w:jc w:val="center"/>
            </w:pPr>
            <w:r>
              <w:rPr>
                <w:b/>
              </w:rPr>
              <w:t>A) Course Learning Outcomes/Content</w:t>
            </w:r>
            <w:r>
              <w:t xml:space="preserve"> </w:t>
            </w:r>
          </w:p>
        </w:tc>
        <w:tc>
          <w:tcPr>
            <w:tcW w:w="1178"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114A8DAD" w14:textId="77777777" w:rsidR="00785F44" w:rsidRDefault="00785F44">
            <w:pPr>
              <w:jc w:val="center"/>
              <w:rPr>
                <w:b/>
              </w:rPr>
            </w:pPr>
          </w:p>
          <w:p w14:paraId="7429D666" w14:textId="77777777" w:rsidR="00785F44" w:rsidRDefault="00000000">
            <w:pPr>
              <w:jc w:val="center"/>
              <w:rPr>
                <w:b/>
              </w:rPr>
            </w:pPr>
            <w:r>
              <w:rPr>
                <w:b/>
              </w:rPr>
              <w:t>B) Assessment of Student Learning</w:t>
            </w:r>
          </w:p>
        </w:tc>
        <w:tc>
          <w:tcPr>
            <w:tcW w:w="1178" w:type="pct"/>
            <w:tcBorders>
              <w:top w:val="single" w:sz="8" w:space="0" w:color="000000"/>
              <w:bottom w:val="single" w:sz="8" w:space="0" w:color="000000"/>
              <w:right w:val="single" w:sz="8" w:space="0" w:color="000000"/>
            </w:tcBorders>
            <w:tcMar>
              <w:top w:w="100" w:type="dxa"/>
              <w:left w:w="100" w:type="dxa"/>
              <w:bottom w:w="100" w:type="dxa"/>
              <w:right w:w="100" w:type="dxa"/>
            </w:tcMar>
          </w:tcPr>
          <w:p w14:paraId="0412FBDF" w14:textId="77777777" w:rsidR="00785F44" w:rsidRDefault="00785F44">
            <w:pPr>
              <w:jc w:val="center"/>
              <w:rPr>
                <w:b/>
              </w:rPr>
            </w:pPr>
          </w:p>
          <w:p w14:paraId="67555461" w14:textId="77777777" w:rsidR="00785F44" w:rsidRDefault="00000000">
            <w:pPr>
              <w:jc w:val="center"/>
              <w:rPr>
                <w:b/>
              </w:rPr>
            </w:pPr>
            <w:r>
              <w:rPr>
                <w:b/>
              </w:rPr>
              <w:t>C) Key Locations of Evidence in Attached Documents</w:t>
            </w:r>
          </w:p>
        </w:tc>
      </w:tr>
      <w:tr w:rsidR="00785F44" w14:paraId="63FB4095" w14:textId="77777777" w:rsidTr="00383CE3">
        <w:trPr>
          <w:trHeight w:val="935"/>
        </w:trPr>
        <w:tc>
          <w:tcPr>
            <w:tcW w:w="1467"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5494BAF5" w14:textId="77777777" w:rsidR="00785F44" w:rsidRDefault="00000000">
            <w:pPr>
              <w:numPr>
                <w:ilvl w:val="0"/>
                <w:numId w:val="5"/>
              </w:numPr>
            </w:pPr>
            <w:r>
              <w:rPr>
                <w:b/>
              </w:rPr>
              <w:t xml:space="preserve">Basic Knowledge: </w:t>
            </w:r>
            <w:r>
              <w:t xml:space="preserve">employ principles, terminology, and methods from disciplines in the arts and humanities. </w:t>
            </w:r>
          </w:p>
          <w:p w14:paraId="68D539B2" w14:textId="77777777" w:rsidR="00785F44" w:rsidRDefault="00000000">
            <w:pPr>
              <w:rPr>
                <w:b/>
              </w:rPr>
            </w:pPr>
            <w:r>
              <w:rPr>
                <w:b/>
              </w:rPr>
              <w:t xml:space="preserve"> </w:t>
            </w:r>
          </w:p>
        </w:tc>
        <w:tc>
          <w:tcPr>
            <w:tcW w:w="1177" w:type="pct"/>
            <w:tcBorders>
              <w:bottom w:val="single" w:sz="8" w:space="0" w:color="000000"/>
              <w:right w:val="single" w:sz="8" w:space="0" w:color="000000"/>
            </w:tcBorders>
            <w:tcMar>
              <w:top w:w="100" w:type="dxa"/>
              <w:left w:w="100" w:type="dxa"/>
              <w:bottom w:w="100" w:type="dxa"/>
              <w:right w:w="100" w:type="dxa"/>
            </w:tcMar>
          </w:tcPr>
          <w:p w14:paraId="45527792" w14:textId="77777777" w:rsidR="00785F44" w:rsidRDefault="00000000">
            <w:pPr>
              <w:rPr>
                <w:b/>
              </w:rPr>
            </w:pPr>
            <w:r>
              <w:rPr>
                <w:b/>
              </w:rPr>
              <w:t xml:space="preserve"> </w:t>
            </w:r>
          </w:p>
          <w:p w14:paraId="387DF957" w14:textId="77777777" w:rsidR="00383CE3" w:rsidRDefault="00383CE3">
            <w:pPr>
              <w:rPr>
                <w:b/>
              </w:rPr>
            </w:pPr>
          </w:p>
          <w:p w14:paraId="11265209" w14:textId="77777777" w:rsidR="00383CE3" w:rsidRDefault="00383CE3">
            <w:pPr>
              <w:rPr>
                <w:b/>
              </w:rPr>
            </w:pPr>
          </w:p>
          <w:p w14:paraId="73955B9A" w14:textId="77777777" w:rsidR="00383CE3" w:rsidRDefault="00383CE3">
            <w:pPr>
              <w:rPr>
                <w:b/>
              </w:rPr>
            </w:pPr>
          </w:p>
          <w:p w14:paraId="383241AA" w14:textId="77777777" w:rsidR="00383CE3" w:rsidRDefault="00383CE3">
            <w:pPr>
              <w:rPr>
                <w:b/>
              </w:rPr>
            </w:pPr>
          </w:p>
          <w:p w14:paraId="5E2AADE7" w14:textId="77777777" w:rsidR="00383CE3" w:rsidRDefault="00383CE3">
            <w:pPr>
              <w:rPr>
                <w:b/>
              </w:rPr>
            </w:pPr>
          </w:p>
          <w:p w14:paraId="0DE21668" w14:textId="77777777" w:rsidR="00383CE3" w:rsidRDefault="00383CE3">
            <w:pPr>
              <w:rPr>
                <w:b/>
              </w:rPr>
            </w:pPr>
          </w:p>
          <w:p w14:paraId="63926E06" w14:textId="77777777" w:rsidR="00383CE3" w:rsidRDefault="00383CE3">
            <w:pPr>
              <w:rPr>
                <w:b/>
              </w:rPr>
            </w:pPr>
          </w:p>
          <w:p w14:paraId="04EE5BA7" w14:textId="77777777" w:rsidR="008B6FFA" w:rsidRDefault="008B6FFA">
            <w:pPr>
              <w:rPr>
                <w:b/>
              </w:rPr>
            </w:pPr>
          </w:p>
          <w:p w14:paraId="6A8EAA7B" w14:textId="77777777" w:rsidR="008B6FFA" w:rsidRDefault="008B6FFA">
            <w:pPr>
              <w:rPr>
                <w:b/>
              </w:rPr>
            </w:pPr>
          </w:p>
          <w:p w14:paraId="73706643" w14:textId="77777777" w:rsidR="008B6FFA" w:rsidRDefault="008B6FFA">
            <w:pPr>
              <w:rPr>
                <w:b/>
              </w:rPr>
            </w:pPr>
          </w:p>
          <w:p w14:paraId="571342B2" w14:textId="77777777" w:rsidR="00383CE3" w:rsidRDefault="00383CE3">
            <w:pPr>
              <w:rPr>
                <w:b/>
              </w:rPr>
            </w:pPr>
          </w:p>
        </w:tc>
        <w:tc>
          <w:tcPr>
            <w:tcW w:w="1178" w:type="pct"/>
            <w:tcBorders>
              <w:bottom w:val="single" w:sz="8" w:space="0" w:color="000000"/>
              <w:right w:val="single" w:sz="8" w:space="0" w:color="000000"/>
            </w:tcBorders>
            <w:tcMar>
              <w:top w:w="100" w:type="dxa"/>
              <w:left w:w="100" w:type="dxa"/>
              <w:bottom w:w="100" w:type="dxa"/>
              <w:right w:w="100" w:type="dxa"/>
            </w:tcMar>
          </w:tcPr>
          <w:p w14:paraId="18F2891F" w14:textId="77777777" w:rsidR="00785F44" w:rsidRDefault="00000000">
            <w:pPr>
              <w:rPr>
                <w:b/>
              </w:rPr>
            </w:pPr>
            <w:r>
              <w:rPr>
                <w:b/>
              </w:rPr>
              <w:t xml:space="preserve"> </w:t>
            </w:r>
          </w:p>
        </w:tc>
        <w:tc>
          <w:tcPr>
            <w:tcW w:w="1178" w:type="pct"/>
            <w:tcBorders>
              <w:bottom w:val="single" w:sz="8" w:space="0" w:color="000000"/>
              <w:right w:val="single" w:sz="8" w:space="0" w:color="000000"/>
            </w:tcBorders>
            <w:tcMar>
              <w:top w:w="100" w:type="dxa"/>
              <w:left w:w="100" w:type="dxa"/>
              <w:bottom w:w="100" w:type="dxa"/>
              <w:right w:w="100" w:type="dxa"/>
            </w:tcMar>
          </w:tcPr>
          <w:p w14:paraId="2B8337AA" w14:textId="77777777" w:rsidR="00785F44" w:rsidRDefault="00000000">
            <w:pPr>
              <w:rPr>
                <w:b/>
              </w:rPr>
            </w:pPr>
            <w:r>
              <w:rPr>
                <w:b/>
              </w:rPr>
              <w:t xml:space="preserve"> </w:t>
            </w:r>
          </w:p>
        </w:tc>
      </w:tr>
      <w:tr w:rsidR="00785F44" w14:paraId="66D51231" w14:textId="77777777" w:rsidTr="00383CE3">
        <w:trPr>
          <w:trHeight w:val="1175"/>
        </w:trPr>
        <w:tc>
          <w:tcPr>
            <w:tcW w:w="1467"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38E98D70" w14:textId="77777777" w:rsidR="00785F44" w:rsidRDefault="00000000">
            <w:pPr>
              <w:numPr>
                <w:ilvl w:val="0"/>
                <w:numId w:val="3"/>
              </w:numPr>
            </w:pPr>
            <w:r>
              <w:rPr>
                <w:b/>
              </w:rPr>
              <w:t xml:space="preserve">Textual Analysis: </w:t>
            </w:r>
            <w:r>
              <w:t xml:space="preserve">analyze, interpret, and/or evaluate primary works that are products of the human imagination and critical thought. </w:t>
            </w:r>
          </w:p>
          <w:p w14:paraId="72E3DE72" w14:textId="77777777" w:rsidR="00785F44" w:rsidRDefault="00000000">
            <w:r>
              <w:t xml:space="preserve"> </w:t>
            </w:r>
          </w:p>
        </w:tc>
        <w:tc>
          <w:tcPr>
            <w:tcW w:w="1177" w:type="pct"/>
            <w:tcBorders>
              <w:bottom w:val="single" w:sz="8" w:space="0" w:color="000000"/>
              <w:right w:val="single" w:sz="8" w:space="0" w:color="000000"/>
            </w:tcBorders>
            <w:tcMar>
              <w:top w:w="100" w:type="dxa"/>
              <w:left w:w="100" w:type="dxa"/>
              <w:bottom w:w="100" w:type="dxa"/>
              <w:right w:w="100" w:type="dxa"/>
            </w:tcMar>
          </w:tcPr>
          <w:p w14:paraId="171A17C8" w14:textId="77777777" w:rsidR="00785F44" w:rsidRDefault="00000000">
            <w:r>
              <w:t xml:space="preserve"> </w:t>
            </w:r>
          </w:p>
          <w:p w14:paraId="5D696258" w14:textId="77777777" w:rsidR="008B6FFA" w:rsidRDefault="008B6FFA"/>
          <w:p w14:paraId="145CAA62" w14:textId="77777777" w:rsidR="008B6FFA" w:rsidRDefault="008B6FFA"/>
          <w:p w14:paraId="41799C1E" w14:textId="77777777" w:rsidR="008B6FFA" w:rsidRDefault="008B6FFA"/>
          <w:p w14:paraId="1910AE1E" w14:textId="77777777" w:rsidR="008B6FFA" w:rsidRDefault="008B6FFA"/>
          <w:p w14:paraId="513A9B2E" w14:textId="77777777" w:rsidR="008B6FFA" w:rsidRDefault="008B6FFA"/>
          <w:p w14:paraId="118719CB" w14:textId="77777777" w:rsidR="008B6FFA" w:rsidRDefault="008B6FFA"/>
          <w:p w14:paraId="079683BF" w14:textId="77777777" w:rsidR="008B6FFA" w:rsidRDefault="008B6FFA"/>
          <w:p w14:paraId="6AFEA370" w14:textId="77777777" w:rsidR="008B6FFA" w:rsidRDefault="008B6FFA"/>
          <w:p w14:paraId="7E125E47" w14:textId="77777777" w:rsidR="008B6FFA" w:rsidRDefault="008B6FFA"/>
          <w:p w14:paraId="2359E6F9" w14:textId="77777777" w:rsidR="008B6FFA" w:rsidRDefault="008B6FFA"/>
          <w:p w14:paraId="275BBF85" w14:textId="77777777" w:rsidR="008B6FFA" w:rsidRDefault="008B6FFA"/>
          <w:p w14:paraId="2AD9B6AC" w14:textId="77777777" w:rsidR="008B6FFA" w:rsidRDefault="008B6FFA"/>
        </w:tc>
        <w:tc>
          <w:tcPr>
            <w:tcW w:w="1178" w:type="pct"/>
            <w:tcBorders>
              <w:bottom w:val="single" w:sz="8" w:space="0" w:color="000000"/>
              <w:right w:val="single" w:sz="8" w:space="0" w:color="000000"/>
            </w:tcBorders>
            <w:tcMar>
              <w:top w:w="100" w:type="dxa"/>
              <w:left w:w="100" w:type="dxa"/>
              <w:bottom w:w="100" w:type="dxa"/>
              <w:right w:w="100" w:type="dxa"/>
            </w:tcMar>
          </w:tcPr>
          <w:p w14:paraId="7D41B6AD" w14:textId="77777777" w:rsidR="00785F44" w:rsidRDefault="00000000">
            <w:r>
              <w:t xml:space="preserve"> </w:t>
            </w:r>
          </w:p>
        </w:tc>
        <w:tc>
          <w:tcPr>
            <w:tcW w:w="1178" w:type="pct"/>
            <w:tcBorders>
              <w:bottom w:val="single" w:sz="8" w:space="0" w:color="000000"/>
              <w:right w:val="single" w:sz="8" w:space="0" w:color="000000"/>
            </w:tcBorders>
            <w:tcMar>
              <w:top w:w="100" w:type="dxa"/>
              <w:left w:w="100" w:type="dxa"/>
              <w:bottom w:w="100" w:type="dxa"/>
              <w:right w:w="100" w:type="dxa"/>
            </w:tcMar>
          </w:tcPr>
          <w:p w14:paraId="5D0A1504" w14:textId="77777777" w:rsidR="00785F44" w:rsidRDefault="00000000">
            <w:r>
              <w:t xml:space="preserve"> </w:t>
            </w:r>
          </w:p>
        </w:tc>
      </w:tr>
      <w:tr w:rsidR="00785F44" w14:paraId="2FD0EF3F" w14:textId="77777777" w:rsidTr="00383CE3">
        <w:trPr>
          <w:trHeight w:val="935"/>
        </w:trPr>
        <w:tc>
          <w:tcPr>
            <w:tcW w:w="1467"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1727D68B" w14:textId="77777777" w:rsidR="00785F44" w:rsidRDefault="00000000">
            <w:pPr>
              <w:numPr>
                <w:ilvl w:val="0"/>
                <w:numId w:val="2"/>
              </w:numPr>
            </w:pPr>
            <w:r>
              <w:rPr>
                <w:b/>
              </w:rPr>
              <w:lastRenderedPageBreak/>
              <w:t xml:space="preserve">Contextual Examination: </w:t>
            </w:r>
            <w:r>
              <w:t>reflect on the creative process of products of the human imagination and critical thought.</w:t>
            </w:r>
          </w:p>
          <w:p w14:paraId="6E5E45D2" w14:textId="77777777" w:rsidR="00785F44" w:rsidRDefault="00000000">
            <w:r>
              <w:t xml:space="preserve"> </w:t>
            </w:r>
          </w:p>
        </w:tc>
        <w:tc>
          <w:tcPr>
            <w:tcW w:w="1177" w:type="pct"/>
            <w:tcBorders>
              <w:bottom w:val="single" w:sz="8" w:space="0" w:color="000000"/>
              <w:right w:val="single" w:sz="8" w:space="0" w:color="000000"/>
            </w:tcBorders>
            <w:tcMar>
              <w:top w:w="100" w:type="dxa"/>
              <w:left w:w="100" w:type="dxa"/>
              <w:bottom w:w="100" w:type="dxa"/>
              <w:right w:w="100" w:type="dxa"/>
            </w:tcMar>
          </w:tcPr>
          <w:p w14:paraId="0E66C62A" w14:textId="77777777" w:rsidR="00785F44" w:rsidRDefault="00000000">
            <w:r>
              <w:t xml:space="preserve"> </w:t>
            </w:r>
          </w:p>
          <w:p w14:paraId="2DAB0290" w14:textId="77777777" w:rsidR="008B6FFA" w:rsidRDefault="008B6FFA"/>
          <w:p w14:paraId="2A096FF9" w14:textId="77777777" w:rsidR="008B6FFA" w:rsidRDefault="008B6FFA"/>
          <w:p w14:paraId="38027D1E" w14:textId="77777777" w:rsidR="008B6FFA" w:rsidRDefault="008B6FFA"/>
          <w:p w14:paraId="16E2DFEA" w14:textId="77777777" w:rsidR="008B6FFA" w:rsidRDefault="008B6FFA"/>
          <w:p w14:paraId="69391E85" w14:textId="77777777" w:rsidR="008B6FFA" w:rsidRDefault="008B6FFA"/>
          <w:p w14:paraId="023EFCF4" w14:textId="77777777" w:rsidR="008B6FFA" w:rsidRDefault="008B6FFA"/>
          <w:p w14:paraId="11F3D312" w14:textId="77777777" w:rsidR="008B6FFA" w:rsidRDefault="008B6FFA"/>
          <w:p w14:paraId="40B6677D" w14:textId="77777777" w:rsidR="008B6FFA" w:rsidRDefault="008B6FFA"/>
          <w:p w14:paraId="76AD7767" w14:textId="77777777" w:rsidR="008B6FFA" w:rsidRDefault="008B6FFA"/>
          <w:p w14:paraId="351D2637" w14:textId="77777777" w:rsidR="008B6FFA" w:rsidRDefault="008B6FFA"/>
          <w:p w14:paraId="26C0347F" w14:textId="77777777" w:rsidR="008B6FFA" w:rsidRDefault="008B6FFA"/>
          <w:p w14:paraId="31A97364" w14:textId="77777777" w:rsidR="008B6FFA" w:rsidRDefault="008B6FFA"/>
        </w:tc>
        <w:tc>
          <w:tcPr>
            <w:tcW w:w="1178" w:type="pct"/>
            <w:tcBorders>
              <w:bottom w:val="single" w:sz="8" w:space="0" w:color="000000"/>
              <w:right w:val="single" w:sz="8" w:space="0" w:color="000000"/>
            </w:tcBorders>
            <w:tcMar>
              <w:top w:w="100" w:type="dxa"/>
              <w:left w:w="100" w:type="dxa"/>
              <w:bottom w:w="100" w:type="dxa"/>
              <w:right w:w="100" w:type="dxa"/>
            </w:tcMar>
          </w:tcPr>
          <w:p w14:paraId="4CBC7E99" w14:textId="77777777" w:rsidR="00785F44" w:rsidRDefault="00000000">
            <w:r>
              <w:t xml:space="preserve"> </w:t>
            </w:r>
          </w:p>
        </w:tc>
        <w:tc>
          <w:tcPr>
            <w:tcW w:w="1178" w:type="pct"/>
            <w:tcBorders>
              <w:bottom w:val="single" w:sz="8" w:space="0" w:color="000000"/>
              <w:right w:val="single" w:sz="8" w:space="0" w:color="000000"/>
            </w:tcBorders>
            <w:tcMar>
              <w:top w:w="100" w:type="dxa"/>
              <w:left w:w="100" w:type="dxa"/>
              <w:bottom w:w="100" w:type="dxa"/>
              <w:right w:w="100" w:type="dxa"/>
            </w:tcMar>
          </w:tcPr>
          <w:p w14:paraId="7651810E" w14:textId="77777777" w:rsidR="00785F44" w:rsidRDefault="00000000">
            <w:r>
              <w:t xml:space="preserve"> </w:t>
            </w:r>
          </w:p>
        </w:tc>
      </w:tr>
      <w:tr w:rsidR="00785F44" w14:paraId="2290E9DD" w14:textId="77777777" w:rsidTr="00383CE3">
        <w:trPr>
          <w:trHeight w:val="935"/>
        </w:trPr>
        <w:tc>
          <w:tcPr>
            <w:tcW w:w="1467"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7D7712C8" w14:textId="77777777" w:rsidR="00785F44" w:rsidRDefault="00000000">
            <w:pPr>
              <w:numPr>
                <w:ilvl w:val="0"/>
                <w:numId w:val="1"/>
              </w:numPr>
            </w:pPr>
            <w:r>
              <w:rPr>
                <w:b/>
              </w:rPr>
              <w:t xml:space="preserve">Breadth: </w:t>
            </w:r>
            <w:r>
              <w:t>explain relationships among cultural and/or historical contexts.</w:t>
            </w:r>
          </w:p>
          <w:p w14:paraId="5C188D1F" w14:textId="77777777" w:rsidR="00785F44" w:rsidRDefault="00000000">
            <w:r>
              <w:t xml:space="preserve"> </w:t>
            </w:r>
          </w:p>
        </w:tc>
        <w:tc>
          <w:tcPr>
            <w:tcW w:w="1177" w:type="pct"/>
            <w:tcBorders>
              <w:bottom w:val="single" w:sz="8" w:space="0" w:color="000000"/>
              <w:right w:val="single" w:sz="8" w:space="0" w:color="000000"/>
            </w:tcBorders>
            <w:tcMar>
              <w:top w:w="100" w:type="dxa"/>
              <w:left w:w="100" w:type="dxa"/>
              <w:bottom w:w="100" w:type="dxa"/>
              <w:right w:w="100" w:type="dxa"/>
            </w:tcMar>
          </w:tcPr>
          <w:p w14:paraId="66494C74" w14:textId="77777777" w:rsidR="00785F44" w:rsidRDefault="00000000">
            <w:r>
              <w:t xml:space="preserve"> </w:t>
            </w:r>
          </w:p>
          <w:p w14:paraId="174CF3AC" w14:textId="77777777" w:rsidR="008B6FFA" w:rsidRDefault="008B6FFA"/>
          <w:p w14:paraId="15D3D077" w14:textId="77777777" w:rsidR="008B6FFA" w:rsidRDefault="008B6FFA"/>
          <w:p w14:paraId="324A9E0C" w14:textId="77777777" w:rsidR="008B6FFA" w:rsidRDefault="008B6FFA"/>
          <w:p w14:paraId="0EA070B9" w14:textId="77777777" w:rsidR="008B6FFA" w:rsidRDefault="008B6FFA"/>
          <w:p w14:paraId="7980207B" w14:textId="77777777" w:rsidR="008B6FFA" w:rsidRDefault="008B6FFA"/>
          <w:p w14:paraId="7D9FA6C7" w14:textId="77777777" w:rsidR="008B6FFA" w:rsidRDefault="008B6FFA"/>
          <w:p w14:paraId="2CCA7071" w14:textId="77777777" w:rsidR="008B6FFA" w:rsidRDefault="008B6FFA"/>
          <w:p w14:paraId="0F1C2278" w14:textId="77777777" w:rsidR="008B6FFA" w:rsidRDefault="008B6FFA"/>
          <w:p w14:paraId="06C9A1E6" w14:textId="77777777" w:rsidR="008B6FFA" w:rsidRDefault="008B6FFA"/>
          <w:p w14:paraId="4CA7B698" w14:textId="77777777" w:rsidR="008B6FFA" w:rsidRDefault="008B6FFA"/>
          <w:p w14:paraId="0A60149E" w14:textId="77777777" w:rsidR="008B6FFA" w:rsidRDefault="008B6FFA"/>
          <w:p w14:paraId="5D493D83" w14:textId="77777777" w:rsidR="008B6FFA" w:rsidRDefault="008B6FFA"/>
          <w:p w14:paraId="34EAD1E1" w14:textId="77777777" w:rsidR="008B6FFA" w:rsidRDefault="008B6FFA"/>
        </w:tc>
        <w:tc>
          <w:tcPr>
            <w:tcW w:w="1178" w:type="pct"/>
            <w:tcBorders>
              <w:bottom w:val="single" w:sz="8" w:space="0" w:color="000000"/>
              <w:right w:val="single" w:sz="8" w:space="0" w:color="000000"/>
            </w:tcBorders>
            <w:tcMar>
              <w:top w:w="100" w:type="dxa"/>
              <w:left w:w="100" w:type="dxa"/>
              <w:bottom w:w="100" w:type="dxa"/>
              <w:right w:w="100" w:type="dxa"/>
            </w:tcMar>
          </w:tcPr>
          <w:p w14:paraId="2F8262A1" w14:textId="77777777" w:rsidR="00785F44" w:rsidRDefault="00000000">
            <w:r>
              <w:t xml:space="preserve"> </w:t>
            </w:r>
          </w:p>
        </w:tc>
        <w:tc>
          <w:tcPr>
            <w:tcW w:w="1178" w:type="pct"/>
            <w:tcBorders>
              <w:bottom w:val="single" w:sz="8" w:space="0" w:color="000000"/>
              <w:right w:val="single" w:sz="8" w:space="0" w:color="000000"/>
            </w:tcBorders>
            <w:tcMar>
              <w:top w:w="100" w:type="dxa"/>
              <w:left w:w="100" w:type="dxa"/>
              <w:bottom w:w="100" w:type="dxa"/>
              <w:right w:w="100" w:type="dxa"/>
            </w:tcMar>
          </w:tcPr>
          <w:p w14:paraId="380E95AD" w14:textId="77777777" w:rsidR="00785F44" w:rsidRDefault="00000000">
            <w:r>
              <w:t xml:space="preserve"> </w:t>
            </w:r>
          </w:p>
        </w:tc>
      </w:tr>
    </w:tbl>
    <w:p w14:paraId="46B25BF9" w14:textId="77777777" w:rsidR="008B6FFA" w:rsidRDefault="008B6FFA">
      <w:r>
        <w:br w:type="page"/>
      </w:r>
    </w:p>
    <w:tbl>
      <w:tblPr>
        <w:tblStyle w:val="a"/>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4219"/>
        <w:gridCol w:w="3385"/>
        <w:gridCol w:w="3388"/>
        <w:gridCol w:w="3388"/>
      </w:tblGrid>
      <w:tr w:rsidR="00785F44" w14:paraId="58026CE9" w14:textId="77777777" w:rsidTr="00383CE3">
        <w:trPr>
          <w:trHeight w:val="935"/>
        </w:trPr>
        <w:tc>
          <w:tcPr>
            <w:tcW w:w="1467" w:type="pct"/>
            <w:tcBorders>
              <w:left w:val="single" w:sz="8" w:space="0" w:color="000000"/>
              <w:bottom w:val="single" w:sz="8" w:space="0" w:color="000000"/>
              <w:right w:val="single" w:sz="8" w:space="0" w:color="000000"/>
            </w:tcBorders>
            <w:tcMar>
              <w:top w:w="100" w:type="dxa"/>
              <w:left w:w="100" w:type="dxa"/>
              <w:bottom w:w="100" w:type="dxa"/>
              <w:right w:w="100" w:type="dxa"/>
            </w:tcMar>
          </w:tcPr>
          <w:p w14:paraId="2C6878DC" w14:textId="4D295BC4" w:rsidR="00785F44" w:rsidRDefault="00000000">
            <w:pPr>
              <w:numPr>
                <w:ilvl w:val="0"/>
                <w:numId w:val="4"/>
              </w:numPr>
            </w:pPr>
            <w:r>
              <w:rPr>
                <w:b/>
              </w:rPr>
              <w:lastRenderedPageBreak/>
              <w:t xml:space="preserve">Communication: </w:t>
            </w:r>
            <w:r>
              <w:t>convey concepts and evidence related to humanistic endeavors clearly and effectively.</w:t>
            </w:r>
          </w:p>
          <w:p w14:paraId="3EF164E4" w14:textId="77777777" w:rsidR="00785F44" w:rsidRDefault="00000000">
            <w:r>
              <w:t xml:space="preserve"> </w:t>
            </w:r>
          </w:p>
        </w:tc>
        <w:tc>
          <w:tcPr>
            <w:tcW w:w="1177" w:type="pct"/>
            <w:tcBorders>
              <w:bottom w:val="single" w:sz="8" w:space="0" w:color="000000"/>
              <w:right w:val="single" w:sz="8" w:space="0" w:color="000000"/>
            </w:tcBorders>
            <w:tcMar>
              <w:top w:w="100" w:type="dxa"/>
              <w:left w:w="100" w:type="dxa"/>
              <w:bottom w:w="100" w:type="dxa"/>
              <w:right w:w="100" w:type="dxa"/>
            </w:tcMar>
          </w:tcPr>
          <w:p w14:paraId="7B2747DB" w14:textId="77777777" w:rsidR="00785F44" w:rsidRDefault="00000000">
            <w:r>
              <w:t xml:space="preserve"> </w:t>
            </w:r>
          </w:p>
          <w:p w14:paraId="7289B169" w14:textId="77777777" w:rsidR="008B6FFA" w:rsidRDefault="008B6FFA"/>
          <w:p w14:paraId="5C80958F" w14:textId="77777777" w:rsidR="008B6FFA" w:rsidRDefault="008B6FFA"/>
          <w:p w14:paraId="490A68F1" w14:textId="77777777" w:rsidR="008B6FFA" w:rsidRDefault="008B6FFA"/>
          <w:p w14:paraId="5E52AA38" w14:textId="77777777" w:rsidR="008B6FFA" w:rsidRDefault="008B6FFA"/>
          <w:p w14:paraId="050A0105" w14:textId="77777777" w:rsidR="008B6FFA" w:rsidRDefault="008B6FFA"/>
          <w:p w14:paraId="01F59DD5" w14:textId="77777777" w:rsidR="008B6FFA" w:rsidRDefault="008B6FFA"/>
          <w:p w14:paraId="19A9E47B" w14:textId="77777777" w:rsidR="008B6FFA" w:rsidRDefault="008B6FFA"/>
          <w:p w14:paraId="4485304C" w14:textId="77777777" w:rsidR="008B6FFA" w:rsidRDefault="008B6FFA"/>
          <w:p w14:paraId="7F896917" w14:textId="77777777" w:rsidR="008B6FFA" w:rsidRDefault="008B6FFA"/>
          <w:p w14:paraId="4B2894E0" w14:textId="77777777" w:rsidR="008B6FFA" w:rsidRDefault="008B6FFA"/>
          <w:p w14:paraId="41C6503B" w14:textId="77777777" w:rsidR="008B6FFA" w:rsidRDefault="008B6FFA"/>
          <w:p w14:paraId="69901A41" w14:textId="77777777" w:rsidR="008B6FFA" w:rsidRDefault="008B6FFA"/>
          <w:p w14:paraId="7904EDF2" w14:textId="77777777" w:rsidR="008B6FFA" w:rsidRDefault="008B6FFA"/>
          <w:p w14:paraId="4DB857EB" w14:textId="77777777" w:rsidR="008B6FFA" w:rsidRDefault="008B6FFA"/>
        </w:tc>
        <w:tc>
          <w:tcPr>
            <w:tcW w:w="1178" w:type="pct"/>
            <w:tcBorders>
              <w:bottom w:val="single" w:sz="8" w:space="0" w:color="000000"/>
              <w:right w:val="single" w:sz="8" w:space="0" w:color="000000"/>
            </w:tcBorders>
            <w:tcMar>
              <w:top w:w="100" w:type="dxa"/>
              <w:left w:w="100" w:type="dxa"/>
              <w:bottom w:w="100" w:type="dxa"/>
              <w:right w:w="100" w:type="dxa"/>
            </w:tcMar>
          </w:tcPr>
          <w:p w14:paraId="3411AB16" w14:textId="77777777" w:rsidR="00785F44" w:rsidRDefault="00000000">
            <w:r>
              <w:t xml:space="preserve"> </w:t>
            </w:r>
          </w:p>
        </w:tc>
        <w:tc>
          <w:tcPr>
            <w:tcW w:w="1178" w:type="pct"/>
            <w:tcBorders>
              <w:bottom w:val="single" w:sz="8" w:space="0" w:color="000000"/>
              <w:right w:val="single" w:sz="8" w:space="0" w:color="000000"/>
            </w:tcBorders>
            <w:tcMar>
              <w:top w:w="100" w:type="dxa"/>
              <w:left w:w="100" w:type="dxa"/>
              <w:bottom w:w="100" w:type="dxa"/>
              <w:right w:w="100" w:type="dxa"/>
            </w:tcMar>
          </w:tcPr>
          <w:p w14:paraId="24DD473B" w14:textId="77777777" w:rsidR="00785F44" w:rsidRDefault="00000000">
            <w:r>
              <w:t xml:space="preserve"> </w:t>
            </w:r>
          </w:p>
        </w:tc>
      </w:tr>
    </w:tbl>
    <w:p w14:paraId="7019159C" w14:textId="77777777" w:rsidR="00785F44" w:rsidRDefault="00785F44"/>
    <w:p w14:paraId="0D5F0241" w14:textId="77777777" w:rsidR="00785F44" w:rsidRDefault="00000000">
      <w:pPr>
        <w:spacing w:after="200"/>
      </w:pPr>
      <w:r>
        <w:t xml:space="preserve"> </w:t>
      </w:r>
    </w:p>
    <w:tbl>
      <w:tblPr>
        <w:tblStyle w:val="a0"/>
        <w:tblW w:w="13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150"/>
        <w:gridCol w:w="7410"/>
      </w:tblGrid>
      <w:tr w:rsidR="00785F44" w14:paraId="46A7E856" w14:textId="77777777">
        <w:trPr>
          <w:trHeight w:val="1890"/>
        </w:trPr>
        <w:tc>
          <w:tcPr>
            <w:tcW w:w="6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61F67" w14:textId="77777777" w:rsidR="00785F44" w:rsidRDefault="00000000">
            <w:pPr>
              <w:jc w:val="center"/>
              <w:rPr>
                <w:b/>
              </w:rPr>
            </w:pPr>
            <w:r>
              <w:rPr>
                <w:b/>
              </w:rPr>
              <w:t>Acknowledgement</w:t>
            </w:r>
          </w:p>
          <w:p w14:paraId="5CCC0955" w14:textId="77777777" w:rsidR="001C1611" w:rsidRDefault="001C1611" w:rsidP="001C1611">
            <w:pPr>
              <w:spacing w:after="240"/>
              <w:rPr>
                <w:color w:val="333333"/>
              </w:rPr>
            </w:pPr>
          </w:p>
          <w:p w14:paraId="0BB0F19C" w14:textId="747F9034" w:rsidR="001C1611" w:rsidRDefault="001C1611" w:rsidP="001C1611">
            <w:pPr>
              <w:spacing w:after="240"/>
              <w:rPr>
                <w:color w:val="333333"/>
              </w:rPr>
            </w:pPr>
            <w:r>
              <w:rPr>
                <w:color w:val="333333"/>
              </w:rPr>
              <w:t>The Ohio Transfer 36 requires at least 6 semester hours of course credit in Arts and Humanities.</w:t>
            </w:r>
          </w:p>
          <w:p w14:paraId="1E3196CF" w14:textId="77777777" w:rsidR="001C1611" w:rsidRDefault="001C1611" w:rsidP="001C1611">
            <w:pPr>
              <w:spacing w:before="240" w:after="240"/>
              <w:rPr>
                <w:color w:val="333333"/>
              </w:rPr>
            </w:pPr>
            <w:r>
              <w:rPr>
                <w:color w:val="333333"/>
              </w:rPr>
              <w:t>• Students completing courses in the Arts and Humanities category should achieve the learning outcomes above through the study of humanities disciplines such as the arts, music, theatre, film, literature, philosophy, and history. Students must select courses from at least two different disciplines to fulfill Ohio Transfer 36 minimum requirements.</w:t>
            </w:r>
          </w:p>
          <w:p w14:paraId="6F735252" w14:textId="77777777" w:rsidR="001C1611" w:rsidRDefault="001C1611" w:rsidP="001C1611">
            <w:pPr>
              <w:spacing w:before="240" w:after="240"/>
              <w:rPr>
                <w:color w:val="333333"/>
              </w:rPr>
            </w:pPr>
            <w:r>
              <w:rPr>
                <w:color w:val="333333"/>
              </w:rPr>
              <w:t>• Ohio Transfer 36 Arts and Humanities courses should be introductory-level courses that focus on the study of human endeavors spanning historical periods, regions, and/or cultures.</w:t>
            </w:r>
          </w:p>
          <w:p w14:paraId="362A0CCD" w14:textId="77777777" w:rsidR="001C1611" w:rsidRDefault="001C1611" w:rsidP="001C1611">
            <w:pPr>
              <w:spacing w:before="240" w:after="240"/>
              <w:rPr>
                <w:color w:val="333333"/>
              </w:rPr>
            </w:pPr>
            <w:r>
              <w:rPr>
                <w:color w:val="333333"/>
              </w:rPr>
              <w:lastRenderedPageBreak/>
              <w:t>• Course materials should clearly articulate how students interact with primary sources, which may include (but are not limited to) works of art, music, theatre, film, literature, or philosophy.</w:t>
            </w:r>
          </w:p>
          <w:p w14:paraId="0639D570" w14:textId="77777777" w:rsidR="001C1611" w:rsidRDefault="001C1611" w:rsidP="001C1611">
            <w:pPr>
              <w:spacing w:before="240" w:after="240"/>
              <w:rPr>
                <w:b/>
                <w:color w:val="333333"/>
                <w:u w:val="single"/>
              </w:rPr>
            </w:pPr>
            <w:r>
              <w:rPr>
                <w:b/>
                <w:color w:val="333333"/>
                <w:u w:val="single"/>
              </w:rPr>
              <w:t>Excluded courses:</w:t>
            </w:r>
          </w:p>
          <w:p w14:paraId="73BDEFAB" w14:textId="77777777" w:rsidR="001C1611" w:rsidRDefault="001C1611" w:rsidP="001C1611">
            <w:pPr>
              <w:spacing w:before="240" w:after="240"/>
              <w:rPr>
                <w:color w:val="333333"/>
              </w:rPr>
            </w:pPr>
            <w:r>
              <w:rPr>
                <w:color w:val="333333"/>
              </w:rPr>
              <w:t>• Remedial or developmental courses, special topics courses, narrowly focused courses, and technical or pre-technical courses.</w:t>
            </w:r>
          </w:p>
          <w:p w14:paraId="58A065FC" w14:textId="77777777" w:rsidR="001C1611" w:rsidRDefault="001C1611" w:rsidP="001C1611">
            <w:pPr>
              <w:spacing w:before="240" w:after="240"/>
              <w:rPr>
                <w:color w:val="333333"/>
              </w:rPr>
            </w:pPr>
            <w:r>
              <w:rPr>
                <w:color w:val="333333"/>
              </w:rPr>
              <w:t>• Courses that focus exclusively on content coverage without addressing the learning outcomes for the Ohio Transfer 36.</w:t>
            </w:r>
          </w:p>
          <w:p w14:paraId="1C755FEC" w14:textId="77777777" w:rsidR="001C1611" w:rsidRDefault="001C1611" w:rsidP="001C1611">
            <w:pPr>
              <w:spacing w:before="240" w:after="240"/>
              <w:rPr>
                <w:color w:val="333333"/>
              </w:rPr>
            </w:pPr>
            <w:r>
              <w:rPr>
                <w:color w:val="333333"/>
              </w:rPr>
              <w:t>• Career preparation courses, non-credit continuing education courses, and life experience courses (unless life experience credit, such as military training or other prior learning experience, becomes approved in the future for an Ohio Transfer 36 credit by the statewide faculty review panel).</w:t>
            </w:r>
          </w:p>
          <w:p w14:paraId="694F8F4F" w14:textId="5F0316CB" w:rsidR="00785F44" w:rsidRPr="001C1611" w:rsidRDefault="001C1611" w:rsidP="00210E77">
            <w:pPr>
              <w:spacing w:before="240"/>
              <w:rPr>
                <w:color w:val="333333"/>
              </w:rPr>
            </w:pPr>
            <w:r>
              <w:rPr>
                <w:color w:val="333333"/>
              </w:rPr>
              <w:t xml:space="preserve">• Courses that are primarily designed for skill development (e.g., applied music lessons, studio art, symbolic or formal logic, theatre skills, creative writing, and foreign language). To be approved, foreign language courses must devote a majority of the course content to literature and not be grammar and/or </w:t>
            </w:r>
            <w:proofErr w:type="gramStart"/>
            <w:r>
              <w:rPr>
                <w:color w:val="333333"/>
              </w:rPr>
              <w:t>skills-based</w:t>
            </w:r>
            <w:proofErr w:type="gramEnd"/>
            <w:r>
              <w:rPr>
                <w:color w:val="333333"/>
              </w:rPr>
              <w:t xml:space="preserve">. Skills-based activities, whether graded or not, may support the learning process in an Ohio Transfer 36 Arts and Humanities course, </w:t>
            </w:r>
            <w:proofErr w:type="gramStart"/>
            <w:r>
              <w:rPr>
                <w:color w:val="333333"/>
              </w:rPr>
              <w:t>as long as</w:t>
            </w:r>
            <w:proofErr w:type="gramEnd"/>
            <w:r>
              <w:rPr>
                <w:color w:val="333333"/>
              </w:rPr>
              <w:t xml:space="preserve"> the primary focus or goal of the course is not skill development. </w:t>
            </w:r>
          </w:p>
        </w:tc>
        <w:tc>
          <w:tcPr>
            <w:tcW w:w="74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39C52F" w14:textId="21EB6E78" w:rsidR="00785F44" w:rsidRDefault="00000000" w:rsidP="0067223D">
            <w:pPr>
              <w:pStyle w:val="ListParagraph"/>
              <w:numPr>
                <w:ilvl w:val="3"/>
                <w:numId w:val="4"/>
              </w:numPr>
              <w:spacing w:before="240" w:after="240"/>
              <w:rPr>
                <w:b/>
                <w:color w:val="333333"/>
              </w:rPr>
            </w:pPr>
            <w:r w:rsidRPr="0067223D">
              <w:rPr>
                <w:b/>
                <w:color w:val="333333"/>
              </w:rPr>
              <w:lastRenderedPageBreak/>
              <w:t xml:space="preserve">Please acknowledge that you have read the guidelines for types of courses approved for and excluded from the Arts and Humanities category of Ohio Transfer 36. </w:t>
            </w:r>
          </w:p>
          <w:p w14:paraId="6C7D1F5B" w14:textId="77777777" w:rsidR="008B6FFA" w:rsidRDefault="008B6FFA" w:rsidP="008B6FFA">
            <w:pPr>
              <w:spacing w:before="240" w:after="240"/>
              <w:rPr>
                <w:b/>
                <w:color w:val="333333"/>
              </w:rPr>
            </w:pPr>
          </w:p>
          <w:p w14:paraId="60043B13" w14:textId="77777777" w:rsidR="008B6FFA" w:rsidRDefault="008B6FFA" w:rsidP="008B6FFA">
            <w:pPr>
              <w:spacing w:before="240" w:after="240"/>
              <w:rPr>
                <w:b/>
                <w:color w:val="333333"/>
              </w:rPr>
            </w:pPr>
          </w:p>
          <w:p w14:paraId="50EFF0BB" w14:textId="77777777" w:rsidR="008B6FFA" w:rsidRDefault="008B6FFA" w:rsidP="008B6FFA">
            <w:pPr>
              <w:spacing w:before="240" w:after="240"/>
              <w:rPr>
                <w:b/>
                <w:color w:val="333333"/>
              </w:rPr>
            </w:pPr>
          </w:p>
          <w:p w14:paraId="4C9C7A7D" w14:textId="77777777" w:rsidR="008B6FFA" w:rsidRPr="008B6FFA" w:rsidRDefault="008B6FFA" w:rsidP="008B6FFA">
            <w:pPr>
              <w:spacing w:before="240" w:after="240"/>
              <w:rPr>
                <w:b/>
                <w:color w:val="333333"/>
              </w:rPr>
            </w:pPr>
          </w:p>
          <w:p w14:paraId="5204CF41" w14:textId="26375EDA" w:rsidR="0067223D" w:rsidRPr="0067223D" w:rsidRDefault="0067223D" w:rsidP="0067223D">
            <w:pPr>
              <w:pStyle w:val="NormalWeb"/>
              <w:numPr>
                <w:ilvl w:val="3"/>
                <w:numId w:val="4"/>
              </w:numPr>
              <w:spacing w:before="0" w:beforeAutospacing="0" w:after="160" w:afterAutospacing="0"/>
              <w:rPr>
                <w:rFonts w:ascii="Arial" w:hAnsi="Arial" w:cs="Arial"/>
                <w:b/>
                <w:sz w:val="22"/>
                <w:szCs w:val="22"/>
              </w:rPr>
            </w:pPr>
            <w:r w:rsidRPr="0067223D">
              <w:rPr>
                <w:rFonts w:ascii="Arial" w:hAnsi="Arial" w:cs="Arial"/>
                <w:b/>
                <w:sz w:val="22"/>
                <w:szCs w:val="22"/>
              </w:rPr>
              <w:t xml:space="preserve">In addition, please acknowledge that the faculty member(s) and/or Ohio Transfer 36 Coordinator(s) preparing this submission have reviewed the </w:t>
            </w:r>
            <w:r w:rsidRPr="0067223D">
              <w:rPr>
                <w:rFonts w:ascii="Arial" w:hAnsi="Arial" w:cs="Arial"/>
                <w:b/>
                <w:color w:val="000000"/>
                <w:sz w:val="22"/>
                <w:szCs w:val="22"/>
              </w:rPr>
              <w:t>Ohio Transfer 36 Guidance Document for the discipline area of Arts and Humanities</w:t>
            </w:r>
            <w:r w:rsidRPr="0067223D">
              <w:rPr>
                <w:rFonts w:ascii="Arial" w:hAnsi="Arial" w:cs="Arial"/>
                <w:b/>
                <w:sz w:val="22"/>
                <w:szCs w:val="22"/>
              </w:rPr>
              <w:t xml:space="preserve"> and adhered to outlined guidance prior to course submission. </w:t>
            </w:r>
          </w:p>
          <w:p w14:paraId="3C488F22" w14:textId="77777777" w:rsidR="00785F44" w:rsidRPr="0067223D" w:rsidRDefault="00785F44">
            <w:pPr>
              <w:spacing w:before="240" w:after="240"/>
              <w:rPr>
                <w:b/>
                <w:color w:val="333333"/>
              </w:rPr>
            </w:pPr>
          </w:p>
        </w:tc>
      </w:tr>
    </w:tbl>
    <w:p w14:paraId="2C301971" w14:textId="3E05C19D" w:rsidR="00785F44" w:rsidRDefault="00000000" w:rsidP="00210E77">
      <w:pPr>
        <w:spacing w:after="200"/>
      </w:pPr>
      <w:r>
        <w:lastRenderedPageBreak/>
        <w:t xml:space="preserve"> </w:t>
      </w:r>
    </w:p>
    <w:sectPr w:rsidR="00785F44" w:rsidSect="00383CE3">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7478"/>
    <w:multiLevelType w:val="multilevel"/>
    <w:tmpl w:val="E1AE603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76B2828"/>
    <w:multiLevelType w:val="multilevel"/>
    <w:tmpl w:val="859E6EE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10047A6"/>
    <w:multiLevelType w:val="multilevel"/>
    <w:tmpl w:val="D1CAC31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45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3CA648B"/>
    <w:multiLevelType w:val="multilevel"/>
    <w:tmpl w:val="D7F21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2FE1359"/>
    <w:multiLevelType w:val="multilevel"/>
    <w:tmpl w:val="E78EF8E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EA25A50"/>
    <w:multiLevelType w:val="hybridMultilevel"/>
    <w:tmpl w:val="D2F2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077285">
    <w:abstractNumId w:val="1"/>
  </w:num>
  <w:num w:numId="2" w16cid:durableId="1859998896">
    <w:abstractNumId w:val="4"/>
  </w:num>
  <w:num w:numId="3" w16cid:durableId="700521036">
    <w:abstractNumId w:val="0"/>
  </w:num>
  <w:num w:numId="4" w16cid:durableId="2016035832">
    <w:abstractNumId w:val="2"/>
  </w:num>
  <w:num w:numId="5" w16cid:durableId="312762510">
    <w:abstractNumId w:val="3"/>
  </w:num>
  <w:num w:numId="6" w16cid:durableId="368188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44"/>
    <w:rsid w:val="001C1611"/>
    <w:rsid w:val="00210E77"/>
    <w:rsid w:val="00383CE3"/>
    <w:rsid w:val="0067223D"/>
    <w:rsid w:val="00785F44"/>
    <w:rsid w:val="007D734A"/>
    <w:rsid w:val="008A273E"/>
    <w:rsid w:val="008B6FFA"/>
    <w:rsid w:val="00D6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7832"/>
  <w15:docId w15:val="{298C6E15-F488-4F78-AF97-90A52BC0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6722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72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 Spencer</dc:creator>
  <cp:lastModifiedBy>Marcus R Schultz-Bergin</cp:lastModifiedBy>
  <cp:revision>9</cp:revision>
  <dcterms:created xsi:type="dcterms:W3CDTF">2022-09-12T20:13:00Z</dcterms:created>
  <dcterms:modified xsi:type="dcterms:W3CDTF">2023-11-29T16:13:00Z</dcterms:modified>
</cp:coreProperties>
</file>