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D488B" w14:textId="0FC9BC3B" w:rsidR="00785F44" w:rsidRDefault="00000000">
      <w:pPr>
        <w:rPr>
          <w:b/>
        </w:rPr>
      </w:pPr>
      <w:r>
        <w:rPr>
          <w:b/>
        </w:rPr>
        <w:t xml:space="preserve">Ohio Transfer 36 </w:t>
      </w:r>
      <w:r w:rsidR="006101B7">
        <w:rPr>
          <w:b/>
        </w:rPr>
        <w:t>Natural Sciences</w:t>
      </w:r>
      <w:r>
        <w:rPr>
          <w:b/>
        </w:rPr>
        <w:t xml:space="preserve"> Learning Outcome Template</w:t>
      </w:r>
    </w:p>
    <w:p w14:paraId="020AD772" w14:textId="77777777" w:rsidR="00785F44" w:rsidRDefault="00785F44"/>
    <w:tbl>
      <w:tblPr>
        <w:tblStyle w:val="a"/>
        <w:tblW w:w="140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90"/>
        <w:gridCol w:w="3330"/>
        <w:gridCol w:w="3150"/>
        <w:gridCol w:w="3035"/>
      </w:tblGrid>
      <w:tr w:rsidR="00785F44" w14:paraId="4F92FA2F" w14:textId="77777777" w:rsidTr="000E735B">
        <w:trPr>
          <w:trHeight w:val="1655"/>
        </w:trPr>
        <w:tc>
          <w:tcPr>
            <w:tcW w:w="4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F7DA39" w14:textId="77777777" w:rsidR="00785F44" w:rsidRDefault="00785F44">
            <w:pPr>
              <w:jc w:val="center"/>
              <w:rPr>
                <w:b/>
              </w:rPr>
            </w:pPr>
          </w:p>
          <w:p w14:paraId="637BA42F" w14:textId="77777777" w:rsidR="00785F44" w:rsidRDefault="00000000">
            <w:pPr>
              <w:jc w:val="center"/>
              <w:rPr>
                <w:b/>
              </w:rPr>
            </w:pPr>
            <w:r>
              <w:rPr>
                <w:b/>
              </w:rPr>
              <w:t>Ohio Transfer 36 Learning Outcomes</w:t>
            </w:r>
          </w:p>
        </w:tc>
        <w:tc>
          <w:tcPr>
            <w:tcW w:w="333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9568A00" w14:textId="77777777" w:rsidR="00785F44" w:rsidRDefault="00785F44">
            <w:pPr>
              <w:jc w:val="center"/>
              <w:rPr>
                <w:b/>
              </w:rPr>
            </w:pPr>
          </w:p>
          <w:p w14:paraId="27F8DD32" w14:textId="77777777" w:rsidR="00785F44" w:rsidRDefault="00000000">
            <w:pPr>
              <w:jc w:val="center"/>
            </w:pPr>
            <w:r>
              <w:rPr>
                <w:b/>
              </w:rPr>
              <w:t>A) Course Learning Outcomes/Content</w:t>
            </w:r>
            <w:r>
              <w:t xml:space="preserve"> </w:t>
            </w:r>
          </w:p>
        </w:tc>
        <w:tc>
          <w:tcPr>
            <w:tcW w:w="315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114A8DAD" w14:textId="77777777" w:rsidR="00785F44" w:rsidRDefault="00785F44">
            <w:pPr>
              <w:jc w:val="center"/>
              <w:rPr>
                <w:b/>
              </w:rPr>
            </w:pPr>
          </w:p>
          <w:p w14:paraId="7429D666" w14:textId="77777777" w:rsidR="00785F44" w:rsidRDefault="00000000">
            <w:pPr>
              <w:jc w:val="center"/>
              <w:rPr>
                <w:b/>
              </w:rPr>
            </w:pPr>
            <w:r>
              <w:rPr>
                <w:b/>
              </w:rPr>
              <w:t>B) Assessment of Student Learning</w:t>
            </w:r>
          </w:p>
        </w:tc>
        <w:tc>
          <w:tcPr>
            <w:tcW w:w="30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0412FBDF" w14:textId="77777777" w:rsidR="00785F44" w:rsidRDefault="00785F44">
            <w:pPr>
              <w:jc w:val="center"/>
              <w:rPr>
                <w:b/>
              </w:rPr>
            </w:pPr>
          </w:p>
          <w:p w14:paraId="67555461" w14:textId="77777777" w:rsidR="00785F44" w:rsidRDefault="00000000">
            <w:pPr>
              <w:jc w:val="center"/>
              <w:rPr>
                <w:b/>
              </w:rPr>
            </w:pPr>
            <w:r>
              <w:rPr>
                <w:b/>
              </w:rPr>
              <w:t>C) Key Locations of Evidence in Attached Documents</w:t>
            </w:r>
          </w:p>
        </w:tc>
      </w:tr>
      <w:tr w:rsidR="00785F44" w14:paraId="63FB4095" w14:textId="77777777" w:rsidTr="000E735B">
        <w:trPr>
          <w:trHeight w:val="935"/>
        </w:trPr>
        <w:tc>
          <w:tcPr>
            <w:tcW w:w="44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8D539B2" w14:textId="4FE52353" w:rsidR="00785F44" w:rsidRPr="00406076" w:rsidRDefault="00406076" w:rsidP="00406076">
            <w:pPr>
              <w:pStyle w:val="ListParagraph"/>
              <w:numPr>
                <w:ilvl w:val="0"/>
                <w:numId w:val="8"/>
              </w:numPr>
              <w:rPr>
                <w:b/>
              </w:rPr>
            </w:pPr>
            <w:r>
              <w:t xml:space="preserve">Understand the basic facts, principles, </w:t>
            </w:r>
            <w:proofErr w:type="gramStart"/>
            <w:r>
              <w:t>theories</w:t>
            </w:r>
            <w:proofErr w:type="gramEnd"/>
            <w:r>
              <w:t xml:space="preserve"> and methods of modern science. </w:t>
            </w:r>
            <w:r w:rsidRPr="00406076">
              <w:rPr>
                <w:b/>
              </w:rPr>
              <w:t xml:space="preserve"> </w:t>
            </w:r>
          </w:p>
        </w:tc>
        <w:tc>
          <w:tcPr>
            <w:tcW w:w="3330" w:type="dxa"/>
            <w:tcBorders>
              <w:bottom w:val="single" w:sz="8" w:space="0" w:color="000000"/>
              <w:right w:val="single" w:sz="8" w:space="0" w:color="000000"/>
            </w:tcBorders>
            <w:tcMar>
              <w:top w:w="100" w:type="dxa"/>
              <w:left w:w="100" w:type="dxa"/>
              <w:bottom w:w="100" w:type="dxa"/>
              <w:right w:w="100" w:type="dxa"/>
            </w:tcMar>
          </w:tcPr>
          <w:p w14:paraId="76222EAE" w14:textId="77777777" w:rsidR="00785F44" w:rsidRDefault="00000000">
            <w:pPr>
              <w:rPr>
                <w:b/>
              </w:rPr>
            </w:pPr>
            <w:r>
              <w:rPr>
                <w:b/>
              </w:rPr>
              <w:t xml:space="preserve"> </w:t>
            </w:r>
          </w:p>
          <w:p w14:paraId="13C47B11" w14:textId="77777777" w:rsidR="000E735B" w:rsidRDefault="000E735B">
            <w:pPr>
              <w:rPr>
                <w:b/>
              </w:rPr>
            </w:pPr>
          </w:p>
          <w:p w14:paraId="0FFD01BA" w14:textId="77777777" w:rsidR="000E735B" w:rsidRDefault="000E735B">
            <w:pPr>
              <w:rPr>
                <w:b/>
              </w:rPr>
            </w:pPr>
          </w:p>
          <w:p w14:paraId="149952B1" w14:textId="77777777" w:rsidR="000E735B" w:rsidRDefault="000E735B">
            <w:pPr>
              <w:rPr>
                <w:b/>
              </w:rPr>
            </w:pPr>
          </w:p>
          <w:p w14:paraId="55FCC446" w14:textId="77777777" w:rsidR="000E735B" w:rsidRDefault="000E735B">
            <w:pPr>
              <w:rPr>
                <w:b/>
              </w:rPr>
            </w:pPr>
          </w:p>
          <w:p w14:paraId="722A6EE9" w14:textId="77777777" w:rsidR="000E735B" w:rsidRDefault="000E735B">
            <w:pPr>
              <w:rPr>
                <w:b/>
              </w:rPr>
            </w:pPr>
          </w:p>
          <w:p w14:paraId="272FEF90" w14:textId="77777777" w:rsidR="000E735B" w:rsidRDefault="000E735B">
            <w:pPr>
              <w:rPr>
                <w:b/>
              </w:rPr>
            </w:pPr>
          </w:p>
          <w:p w14:paraId="571342B2" w14:textId="77777777" w:rsidR="000E735B" w:rsidRDefault="000E735B">
            <w:pPr>
              <w:rPr>
                <w:b/>
              </w:rPr>
            </w:pPr>
          </w:p>
        </w:tc>
        <w:tc>
          <w:tcPr>
            <w:tcW w:w="3150" w:type="dxa"/>
            <w:tcBorders>
              <w:bottom w:val="single" w:sz="8" w:space="0" w:color="000000"/>
              <w:right w:val="single" w:sz="8" w:space="0" w:color="000000"/>
            </w:tcBorders>
            <w:tcMar>
              <w:top w:w="100" w:type="dxa"/>
              <w:left w:w="100" w:type="dxa"/>
              <w:bottom w:w="100" w:type="dxa"/>
              <w:right w:w="100" w:type="dxa"/>
            </w:tcMar>
          </w:tcPr>
          <w:p w14:paraId="18F2891F" w14:textId="77777777" w:rsidR="00785F44" w:rsidRDefault="00000000">
            <w:pPr>
              <w:rPr>
                <w:b/>
              </w:rPr>
            </w:pPr>
            <w:r>
              <w:rPr>
                <w:b/>
              </w:rPr>
              <w:t xml:space="preserve"> </w:t>
            </w:r>
          </w:p>
        </w:tc>
        <w:tc>
          <w:tcPr>
            <w:tcW w:w="3035" w:type="dxa"/>
            <w:tcBorders>
              <w:bottom w:val="single" w:sz="8" w:space="0" w:color="000000"/>
              <w:right w:val="single" w:sz="8" w:space="0" w:color="000000"/>
            </w:tcBorders>
            <w:tcMar>
              <w:top w:w="100" w:type="dxa"/>
              <w:left w:w="100" w:type="dxa"/>
              <w:bottom w:w="100" w:type="dxa"/>
              <w:right w:w="100" w:type="dxa"/>
            </w:tcMar>
          </w:tcPr>
          <w:p w14:paraId="2B8337AA" w14:textId="77777777" w:rsidR="00785F44" w:rsidRDefault="00000000">
            <w:pPr>
              <w:rPr>
                <w:b/>
              </w:rPr>
            </w:pPr>
            <w:r>
              <w:rPr>
                <w:b/>
              </w:rPr>
              <w:t xml:space="preserve"> </w:t>
            </w:r>
          </w:p>
        </w:tc>
      </w:tr>
      <w:tr w:rsidR="00785F44" w14:paraId="66D51231" w14:textId="77777777" w:rsidTr="000E735B">
        <w:trPr>
          <w:trHeight w:val="1175"/>
        </w:trPr>
        <w:tc>
          <w:tcPr>
            <w:tcW w:w="44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2E3DE72" w14:textId="6144B075" w:rsidR="00785F44" w:rsidRDefault="00406076" w:rsidP="00406076">
            <w:pPr>
              <w:pStyle w:val="ListParagraph"/>
              <w:numPr>
                <w:ilvl w:val="0"/>
                <w:numId w:val="8"/>
              </w:numPr>
            </w:pPr>
            <w:r>
              <w:t xml:space="preserve">Explain how scientific principles are formulated, evaluated, and either modified or validated.  </w:t>
            </w:r>
          </w:p>
        </w:tc>
        <w:tc>
          <w:tcPr>
            <w:tcW w:w="3330" w:type="dxa"/>
            <w:tcBorders>
              <w:bottom w:val="single" w:sz="8" w:space="0" w:color="000000"/>
              <w:right w:val="single" w:sz="8" w:space="0" w:color="000000"/>
            </w:tcBorders>
            <w:tcMar>
              <w:top w:w="100" w:type="dxa"/>
              <w:left w:w="100" w:type="dxa"/>
              <w:bottom w:w="100" w:type="dxa"/>
              <w:right w:w="100" w:type="dxa"/>
            </w:tcMar>
          </w:tcPr>
          <w:p w14:paraId="49CD37E3" w14:textId="77777777" w:rsidR="00785F44" w:rsidRDefault="00000000">
            <w:r>
              <w:t xml:space="preserve"> </w:t>
            </w:r>
          </w:p>
          <w:p w14:paraId="6E32C6F8" w14:textId="77777777" w:rsidR="000E735B" w:rsidRDefault="000E735B"/>
          <w:p w14:paraId="28B04358" w14:textId="77777777" w:rsidR="000E735B" w:rsidRDefault="000E735B"/>
          <w:p w14:paraId="09D65FAD" w14:textId="77777777" w:rsidR="000E735B" w:rsidRDefault="000E735B"/>
          <w:p w14:paraId="5E8E3C81" w14:textId="77777777" w:rsidR="000E735B" w:rsidRDefault="000E735B"/>
          <w:p w14:paraId="4212ACA3" w14:textId="77777777" w:rsidR="000E735B" w:rsidRDefault="000E735B"/>
          <w:p w14:paraId="7FC58ADD" w14:textId="77777777" w:rsidR="000E735B" w:rsidRDefault="000E735B"/>
          <w:p w14:paraId="2AD9B6AC" w14:textId="77777777" w:rsidR="000E735B" w:rsidRDefault="000E735B"/>
        </w:tc>
        <w:tc>
          <w:tcPr>
            <w:tcW w:w="3150" w:type="dxa"/>
            <w:tcBorders>
              <w:bottom w:val="single" w:sz="8" w:space="0" w:color="000000"/>
              <w:right w:val="single" w:sz="8" w:space="0" w:color="000000"/>
            </w:tcBorders>
            <w:tcMar>
              <w:top w:w="100" w:type="dxa"/>
              <w:left w:w="100" w:type="dxa"/>
              <w:bottom w:w="100" w:type="dxa"/>
              <w:right w:w="100" w:type="dxa"/>
            </w:tcMar>
          </w:tcPr>
          <w:p w14:paraId="7D41B6AD" w14:textId="77777777" w:rsidR="00785F44" w:rsidRDefault="00000000">
            <w:r>
              <w:t xml:space="preserve"> </w:t>
            </w:r>
          </w:p>
        </w:tc>
        <w:tc>
          <w:tcPr>
            <w:tcW w:w="3035" w:type="dxa"/>
            <w:tcBorders>
              <w:bottom w:val="single" w:sz="8" w:space="0" w:color="000000"/>
              <w:right w:val="single" w:sz="8" w:space="0" w:color="000000"/>
            </w:tcBorders>
            <w:tcMar>
              <w:top w:w="100" w:type="dxa"/>
              <w:left w:w="100" w:type="dxa"/>
              <w:bottom w:w="100" w:type="dxa"/>
              <w:right w:w="100" w:type="dxa"/>
            </w:tcMar>
          </w:tcPr>
          <w:p w14:paraId="5D0A1504" w14:textId="77777777" w:rsidR="00785F44" w:rsidRDefault="00000000">
            <w:r>
              <w:t xml:space="preserve"> </w:t>
            </w:r>
          </w:p>
        </w:tc>
      </w:tr>
      <w:tr w:rsidR="00785F44" w14:paraId="2FD0EF3F" w14:textId="77777777" w:rsidTr="000E735B">
        <w:trPr>
          <w:trHeight w:val="935"/>
        </w:trPr>
        <w:tc>
          <w:tcPr>
            <w:tcW w:w="44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E5E45D2" w14:textId="14229555" w:rsidR="00785F44" w:rsidRDefault="00406076" w:rsidP="00406076">
            <w:pPr>
              <w:pStyle w:val="ListParagraph"/>
              <w:numPr>
                <w:ilvl w:val="0"/>
                <w:numId w:val="8"/>
              </w:numPr>
            </w:pPr>
            <w:r>
              <w:t>Use current models and theories to describe, explain, or predict natural phenomena.</w:t>
            </w:r>
          </w:p>
        </w:tc>
        <w:tc>
          <w:tcPr>
            <w:tcW w:w="3330" w:type="dxa"/>
            <w:tcBorders>
              <w:bottom w:val="single" w:sz="8" w:space="0" w:color="000000"/>
              <w:right w:val="single" w:sz="8" w:space="0" w:color="000000"/>
            </w:tcBorders>
            <w:tcMar>
              <w:top w:w="100" w:type="dxa"/>
              <w:left w:w="100" w:type="dxa"/>
              <w:bottom w:w="100" w:type="dxa"/>
              <w:right w:w="100" w:type="dxa"/>
            </w:tcMar>
          </w:tcPr>
          <w:p w14:paraId="1F64E757" w14:textId="77777777" w:rsidR="00785F44" w:rsidRDefault="00000000">
            <w:r>
              <w:t xml:space="preserve"> </w:t>
            </w:r>
          </w:p>
          <w:p w14:paraId="446F9177" w14:textId="77777777" w:rsidR="000E735B" w:rsidRDefault="000E735B"/>
          <w:p w14:paraId="48EF5194" w14:textId="77777777" w:rsidR="000E735B" w:rsidRDefault="000E735B"/>
          <w:p w14:paraId="09E643A4" w14:textId="77777777" w:rsidR="000E735B" w:rsidRDefault="000E735B"/>
          <w:p w14:paraId="4436FBCF" w14:textId="77777777" w:rsidR="000E735B" w:rsidRDefault="000E735B"/>
          <w:p w14:paraId="663102B8" w14:textId="77777777" w:rsidR="000E735B" w:rsidRDefault="000E735B"/>
          <w:p w14:paraId="6633E6CF" w14:textId="77777777" w:rsidR="000E735B" w:rsidRDefault="000E735B"/>
          <w:p w14:paraId="31A97364" w14:textId="77777777" w:rsidR="000E735B" w:rsidRDefault="000E735B"/>
        </w:tc>
        <w:tc>
          <w:tcPr>
            <w:tcW w:w="3150" w:type="dxa"/>
            <w:tcBorders>
              <w:bottom w:val="single" w:sz="8" w:space="0" w:color="000000"/>
              <w:right w:val="single" w:sz="8" w:space="0" w:color="000000"/>
            </w:tcBorders>
            <w:tcMar>
              <w:top w:w="100" w:type="dxa"/>
              <w:left w:w="100" w:type="dxa"/>
              <w:bottom w:w="100" w:type="dxa"/>
              <w:right w:w="100" w:type="dxa"/>
            </w:tcMar>
          </w:tcPr>
          <w:p w14:paraId="4CBC7E99" w14:textId="77777777" w:rsidR="00785F44" w:rsidRDefault="00000000">
            <w:r>
              <w:t xml:space="preserve"> </w:t>
            </w:r>
          </w:p>
        </w:tc>
        <w:tc>
          <w:tcPr>
            <w:tcW w:w="3035" w:type="dxa"/>
            <w:tcBorders>
              <w:bottom w:val="single" w:sz="8" w:space="0" w:color="000000"/>
              <w:right w:val="single" w:sz="8" w:space="0" w:color="000000"/>
            </w:tcBorders>
            <w:tcMar>
              <w:top w:w="100" w:type="dxa"/>
              <w:left w:w="100" w:type="dxa"/>
              <w:bottom w:w="100" w:type="dxa"/>
              <w:right w:w="100" w:type="dxa"/>
            </w:tcMar>
          </w:tcPr>
          <w:p w14:paraId="7651810E" w14:textId="77777777" w:rsidR="00785F44" w:rsidRDefault="00000000">
            <w:r>
              <w:t xml:space="preserve"> </w:t>
            </w:r>
          </w:p>
        </w:tc>
      </w:tr>
      <w:tr w:rsidR="00785F44" w14:paraId="2290E9DD" w14:textId="77777777" w:rsidTr="000E735B">
        <w:trPr>
          <w:trHeight w:val="935"/>
        </w:trPr>
        <w:tc>
          <w:tcPr>
            <w:tcW w:w="44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C188D1F" w14:textId="38A41705" w:rsidR="00785F44" w:rsidRDefault="00406076" w:rsidP="00406076">
            <w:pPr>
              <w:pStyle w:val="ListParagraph"/>
              <w:numPr>
                <w:ilvl w:val="0"/>
                <w:numId w:val="8"/>
              </w:numPr>
            </w:pPr>
            <w:r>
              <w:lastRenderedPageBreak/>
              <w:t>Apply scientific methods of inquiry appropriate to the discipline to gather data and draw evidence</w:t>
            </w:r>
            <w:r w:rsidRPr="00406076">
              <w:rPr>
                <w:rFonts w:ascii="Cambria Math" w:hAnsi="Cambria Math" w:cs="Cambria Math"/>
              </w:rPr>
              <w:t>‐</w:t>
            </w:r>
            <w:r>
              <w:t xml:space="preserve">based conclusions.  </w:t>
            </w:r>
          </w:p>
        </w:tc>
        <w:tc>
          <w:tcPr>
            <w:tcW w:w="3330" w:type="dxa"/>
            <w:tcBorders>
              <w:bottom w:val="single" w:sz="8" w:space="0" w:color="000000"/>
              <w:right w:val="single" w:sz="8" w:space="0" w:color="000000"/>
            </w:tcBorders>
            <w:tcMar>
              <w:top w:w="100" w:type="dxa"/>
              <w:left w:w="100" w:type="dxa"/>
              <w:bottom w:w="100" w:type="dxa"/>
              <w:right w:w="100" w:type="dxa"/>
            </w:tcMar>
          </w:tcPr>
          <w:p w14:paraId="1021922D" w14:textId="77777777" w:rsidR="00785F44" w:rsidRDefault="00000000">
            <w:r>
              <w:t xml:space="preserve"> </w:t>
            </w:r>
          </w:p>
          <w:p w14:paraId="35676AD9" w14:textId="77777777" w:rsidR="000E735B" w:rsidRDefault="000E735B"/>
          <w:p w14:paraId="125ACB8F" w14:textId="77777777" w:rsidR="000E735B" w:rsidRDefault="000E735B"/>
          <w:p w14:paraId="6E27008B" w14:textId="77777777" w:rsidR="000E735B" w:rsidRDefault="000E735B"/>
          <w:p w14:paraId="40191059" w14:textId="77777777" w:rsidR="000E735B" w:rsidRDefault="000E735B"/>
          <w:p w14:paraId="4C6C16AC" w14:textId="77777777" w:rsidR="000E735B" w:rsidRDefault="000E735B"/>
          <w:p w14:paraId="1B70C6F1" w14:textId="77777777" w:rsidR="000E735B" w:rsidRDefault="000E735B"/>
          <w:p w14:paraId="46BF30B8" w14:textId="77777777" w:rsidR="000E735B" w:rsidRDefault="000E735B"/>
          <w:p w14:paraId="79B8EAC5" w14:textId="77777777" w:rsidR="000E735B" w:rsidRDefault="000E735B"/>
          <w:p w14:paraId="34EAD1E1" w14:textId="77777777" w:rsidR="000E735B" w:rsidRDefault="000E735B"/>
        </w:tc>
        <w:tc>
          <w:tcPr>
            <w:tcW w:w="3150" w:type="dxa"/>
            <w:tcBorders>
              <w:bottom w:val="single" w:sz="8" w:space="0" w:color="000000"/>
              <w:right w:val="single" w:sz="8" w:space="0" w:color="000000"/>
            </w:tcBorders>
            <w:tcMar>
              <w:top w:w="100" w:type="dxa"/>
              <w:left w:w="100" w:type="dxa"/>
              <w:bottom w:w="100" w:type="dxa"/>
              <w:right w:w="100" w:type="dxa"/>
            </w:tcMar>
          </w:tcPr>
          <w:p w14:paraId="2F8262A1" w14:textId="77777777" w:rsidR="00785F44" w:rsidRDefault="00000000">
            <w:r>
              <w:t xml:space="preserve"> </w:t>
            </w:r>
          </w:p>
        </w:tc>
        <w:tc>
          <w:tcPr>
            <w:tcW w:w="3035" w:type="dxa"/>
            <w:tcBorders>
              <w:bottom w:val="single" w:sz="8" w:space="0" w:color="000000"/>
              <w:right w:val="single" w:sz="8" w:space="0" w:color="000000"/>
            </w:tcBorders>
            <w:tcMar>
              <w:top w:w="100" w:type="dxa"/>
              <w:left w:w="100" w:type="dxa"/>
              <w:bottom w:w="100" w:type="dxa"/>
              <w:right w:w="100" w:type="dxa"/>
            </w:tcMar>
          </w:tcPr>
          <w:p w14:paraId="380E95AD" w14:textId="77777777" w:rsidR="00785F44" w:rsidRDefault="00000000">
            <w:r>
              <w:t xml:space="preserve"> </w:t>
            </w:r>
          </w:p>
        </w:tc>
      </w:tr>
      <w:tr w:rsidR="00785F44" w14:paraId="58026CE9" w14:textId="77777777" w:rsidTr="000E735B">
        <w:trPr>
          <w:trHeight w:val="935"/>
        </w:trPr>
        <w:tc>
          <w:tcPr>
            <w:tcW w:w="4490" w:type="dxa"/>
            <w:tcBorders>
              <w:left w:val="single" w:sz="8" w:space="0" w:color="000000"/>
              <w:right w:val="single" w:sz="8" w:space="0" w:color="000000"/>
            </w:tcBorders>
            <w:tcMar>
              <w:top w:w="100" w:type="dxa"/>
              <w:left w:w="100" w:type="dxa"/>
              <w:bottom w:w="100" w:type="dxa"/>
              <w:right w:w="100" w:type="dxa"/>
            </w:tcMar>
          </w:tcPr>
          <w:p w14:paraId="3EF164E4" w14:textId="5828DC60" w:rsidR="00785F44" w:rsidRDefault="00406076" w:rsidP="00406076">
            <w:pPr>
              <w:pStyle w:val="ListParagraph"/>
              <w:numPr>
                <w:ilvl w:val="0"/>
                <w:numId w:val="8"/>
              </w:numPr>
            </w:pPr>
            <w:r>
              <w:t xml:space="preserve">Demonstrate an understanding that scientific data must be reproducible but that it shows intrinsic variation and can have limitations.  </w:t>
            </w:r>
          </w:p>
        </w:tc>
        <w:tc>
          <w:tcPr>
            <w:tcW w:w="3330" w:type="dxa"/>
            <w:tcBorders>
              <w:right w:val="single" w:sz="8" w:space="0" w:color="000000"/>
            </w:tcBorders>
            <w:tcMar>
              <w:top w:w="100" w:type="dxa"/>
              <w:left w:w="100" w:type="dxa"/>
              <w:bottom w:w="100" w:type="dxa"/>
              <w:right w:w="100" w:type="dxa"/>
            </w:tcMar>
          </w:tcPr>
          <w:p w14:paraId="777FF48C" w14:textId="77777777" w:rsidR="00785F44" w:rsidRDefault="00000000">
            <w:r>
              <w:t xml:space="preserve"> </w:t>
            </w:r>
          </w:p>
          <w:p w14:paraId="57722413" w14:textId="77777777" w:rsidR="000E735B" w:rsidRDefault="000E735B"/>
          <w:p w14:paraId="0E97E2E6" w14:textId="77777777" w:rsidR="000E735B" w:rsidRDefault="000E735B"/>
          <w:p w14:paraId="31598DD2" w14:textId="77777777" w:rsidR="000E735B" w:rsidRDefault="000E735B"/>
          <w:p w14:paraId="6370481E" w14:textId="77777777" w:rsidR="000E735B" w:rsidRDefault="000E735B"/>
          <w:p w14:paraId="6DD6C6F9" w14:textId="77777777" w:rsidR="000E735B" w:rsidRDefault="000E735B"/>
          <w:p w14:paraId="1B2560AB" w14:textId="77777777" w:rsidR="000E735B" w:rsidRDefault="000E735B"/>
          <w:p w14:paraId="30160C34" w14:textId="77777777" w:rsidR="000E735B" w:rsidRDefault="000E735B"/>
          <w:p w14:paraId="7DC45C42" w14:textId="77777777" w:rsidR="000E735B" w:rsidRDefault="000E735B"/>
          <w:p w14:paraId="32801007" w14:textId="77777777" w:rsidR="000E735B" w:rsidRDefault="000E735B"/>
          <w:p w14:paraId="4DB857EB" w14:textId="77777777" w:rsidR="000E735B" w:rsidRDefault="000E735B"/>
        </w:tc>
        <w:tc>
          <w:tcPr>
            <w:tcW w:w="3150" w:type="dxa"/>
            <w:tcBorders>
              <w:right w:val="single" w:sz="8" w:space="0" w:color="000000"/>
            </w:tcBorders>
            <w:tcMar>
              <w:top w:w="100" w:type="dxa"/>
              <w:left w:w="100" w:type="dxa"/>
              <w:bottom w:w="100" w:type="dxa"/>
              <w:right w:w="100" w:type="dxa"/>
            </w:tcMar>
          </w:tcPr>
          <w:p w14:paraId="3411AB16" w14:textId="77777777" w:rsidR="00785F44" w:rsidRDefault="00000000">
            <w:r>
              <w:t xml:space="preserve"> </w:t>
            </w:r>
          </w:p>
        </w:tc>
        <w:tc>
          <w:tcPr>
            <w:tcW w:w="3035" w:type="dxa"/>
            <w:tcBorders>
              <w:right w:val="single" w:sz="8" w:space="0" w:color="000000"/>
            </w:tcBorders>
            <w:tcMar>
              <w:top w:w="100" w:type="dxa"/>
              <w:left w:w="100" w:type="dxa"/>
              <w:bottom w:w="100" w:type="dxa"/>
              <w:right w:w="100" w:type="dxa"/>
            </w:tcMar>
          </w:tcPr>
          <w:p w14:paraId="24DD473B" w14:textId="77777777" w:rsidR="00785F44" w:rsidRDefault="00000000">
            <w:r>
              <w:t xml:space="preserve"> </w:t>
            </w:r>
          </w:p>
        </w:tc>
      </w:tr>
      <w:tr w:rsidR="00406076" w14:paraId="4F47755E" w14:textId="77777777" w:rsidTr="000E735B">
        <w:trPr>
          <w:trHeight w:val="935"/>
        </w:trPr>
        <w:tc>
          <w:tcPr>
            <w:tcW w:w="4490" w:type="dxa"/>
            <w:tcBorders>
              <w:left w:val="single" w:sz="8" w:space="0" w:color="000000"/>
              <w:right w:val="single" w:sz="8" w:space="0" w:color="000000"/>
            </w:tcBorders>
            <w:tcMar>
              <w:top w:w="100" w:type="dxa"/>
              <w:left w:w="100" w:type="dxa"/>
              <w:bottom w:w="100" w:type="dxa"/>
              <w:right w:w="100" w:type="dxa"/>
            </w:tcMar>
          </w:tcPr>
          <w:p w14:paraId="1B827B68" w14:textId="5A783068" w:rsidR="00406076" w:rsidRDefault="00406076" w:rsidP="00406076">
            <w:pPr>
              <w:pStyle w:val="ListParagraph"/>
              <w:numPr>
                <w:ilvl w:val="0"/>
                <w:numId w:val="8"/>
              </w:numPr>
            </w:pPr>
            <w:r>
              <w:t>Apply foundational knowledge and discipline</w:t>
            </w:r>
            <w:r>
              <w:rPr>
                <w:rFonts w:ascii="Cambria Math" w:hAnsi="Cambria Math" w:cs="Cambria Math"/>
              </w:rPr>
              <w:t>‐</w:t>
            </w:r>
            <w:r>
              <w:t>specific concepts to address issues or solve problems.</w:t>
            </w:r>
          </w:p>
        </w:tc>
        <w:tc>
          <w:tcPr>
            <w:tcW w:w="3330" w:type="dxa"/>
            <w:tcBorders>
              <w:right w:val="single" w:sz="8" w:space="0" w:color="000000"/>
            </w:tcBorders>
            <w:tcMar>
              <w:top w:w="100" w:type="dxa"/>
              <w:left w:w="100" w:type="dxa"/>
              <w:bottom w:w="100" w:type="dxa"/>
              <w:right w:w="100" w:type="dxa"/>
            </w:tcMar>
          </w:tcPr>
          <w:p w14:paraId="225AD742" w14:textId="77777777" w:rsidR="00406076" w:rsidRDefault="00406076"/>
          <w:p w14:paraId="41ADC816" w14:textId="77777777" w:rsidR="000E735B" w:rsidRDefault="000E735B"/>
          <w:p w14:paraId="6B4BF9EE" w14:textId="77777777" w:rsidR="000E735B" w:rsidRDefault="000E735B"/>
          <w:p w14:paraId="4D0242C0" w14:textId="77777777" w:rsidR="000E735B" w:rsidRDefault="000E735B"/>
          <w:p w14:paraId="7A67BECC" w14:textId="77777777" w:rsidR="000E735B" w:rsidRDefault="000E735B"/>
          <w:p w14:paraId="09A081E6" w14:textId="77777777" w:rsidR="000E735B" w:rsidRDefault="000E735B"/>
          <w:p w14:paraId="47483E6D" w14:textId="77777777" w:rsidR="000E735B" w:rsidRDefault="000E735B"/>
          <w:p w14:paraId="581C67C6" w14:textId="77777777" w:rsidR="000E735B" w:rsidRDefault="000E735B"/>
          <w:p w14:paraId="4A6D3352" w14:textId="77777777" w:rsidR="000E735B" w:rsidRDefault="000E735B"/>
          <w:p w14:paraId="77C4F87B" w14:textId="77777777" w:rsidR="000E735B" w:rsidRDefault="000E735B"/>
        </w:tc>
        <w:tc>
          <w:tcPr>
            <w:tcW w:w="3150" w:type="dxa"/>
            <w:tcBorders>
              <w:right w:val="single" w:sz="8" w:space="0" w:color="000000"/>
            </w:tcBorders>
            <w:tcMar>
              <w:top w:w="100" w:type="dxa"/>
              <w:left w:w="100" w:type="dxa"/>
              <w:bottom w:w="100" w:type="dxa"/>
              <w:right w:w="100" w:type="dxa"/>
            </w:tcMar>
          </w:tcPr>
          <w:p w14:paraId="5A7D6D42" w14:textId="77777777" w:rsidR="00406076" w:rsidRDefault="00406076"/>
        </w:tc>
        <w:tc>
          <w:tcPr>
            <w:tcW w:w="3035" w:type="dxa"/>
            <w:tcBorders>
              <w:right w:val="single" w:sz="8" w:space="0" w:color="000000"/>
            </w:tcBorders>
            <w:tcMar>
              <w:top w:w="100" w:type="dxa"/>
              <w:left w:w="100" w:type="dxa"/>
              <w:bottom w:w="100" w:type="dxa"/>
              <w:right w:w="100" w:type="dxa"/>
            </w:tcMar>
          </w:tcPr>
          <w:p w14:paraId="18D57072" w14:textId="77777777" w:rsidR="00406076" w:rsidRDefault="00406076"/>
        </w:tc>
      </w:tr>
      <w:tr w:rsidR="00406076" w14:paraId="5F3D31A8" w14:textId="77777777" w:rsidTr="000E735B">
        <w:trPr>
          <w:trHeight w:val="935"/>
        </w:trPr>
        <w:tc>
          <w:tcPr>
            <w:tcW w:w="4490" w:type="dxa"/>
            <w:tcBorders>
              <w:left w:val="single" w:sz="8" w:space="0" w:color="000000"/>
              <w:right w:val="single" w:sz="8" w:space="0" w:color="000000"/>
            </w:tcBorders>
            <w:tcMar>
              <w:top w:w="100" w:type="dxa"/>
              <w:left w:w="100" w:type="dxa"/>
              <w:bottom w:w="100" w:type="dxa"/>
              <w:right w:w="100" w:type="dxa"/>
            </w:tcMar>
          </w:tcPr>
          <w:p w14:paraId="0380077C" w14:textId="543CA009" w:rsidR="00406076" w:rsidRDefault="00406076" w:rsidP="00406076">
            <w:pPr>
              <w:pStyle w:val="ListParagraph"/>
              <w:numPr>
                <w:ilvl w:val="0"/>
                <w:numId w:val="8"/>
              </w:numPr>
            </w:pPr>
            <w:r>
              <w:lastRenderedPageBreak/>
              <w:t>Explain how scientific principles are used in understanding the modern world, and understand the impact of science on the contemporary world.</w:t>
            </w:r>
          </w:p>
        </w:tc>
        <w:tc>
          <w:tcPr>
            <w:tcW w:w="3330" w:type="dxa"/>
            <w:tcBorders>
              <w:right w:val="single" w:sz="8" w:space="0" w:color="000000"/>
            </w:tcBorders>
            <w:tcMar>
              <w:top w:w="100" w:type="dxa"/>
              <w:left w:w="100" w:type="dxa"/>
              <w:bottom w:w="100" w:type="dxa"/>
              <w:right w:w="100" w:type="dxa"/>
            </w:tcMar>
          </w:tcPr>
          <w:p w14:paraId="395CE4B4" w14:textId="77777777" w:rsidR="00406076" w:rsidRDefault="00406076"/>
          <w:p w14:paraId="1CEB8B0E" w14:textId="77777777" w:rsidR="000E735B" w:rsidRDefault="000E735B"/>
          <w:p w14:paraId="740B85F1" w14:textId="77777777" w:rsidR="000E735B" w:rsidRDefault="000E735B"/>
          <w:p w14:paraId="20BC6627" w14:textId="77777777" w:rsidR="000E735B" w:rsidRDefault="000E735B"/>
          <w:p w14:paraId="1B41ACA0" w14:textId="77777777" w:rsidR="000E735B" w:rsidRDefault="000E735B"/>
          <w:p w14:paraId="24511556" w14:textId="77777777" w:rsidR="000E735B" w:rsidRDefault="000E735B"/>
          <w:p w14:paraId="4F156F26" w14:textId="77777777" w:rsidR="000E735B" w:rsidRDefault="000E735B"/>
          <w:p w14:paraId="6C373E07" w14:textId="77777777" w:rsidR="000E735B" w:rsidRDefault="000E735B"/>
          <w:p w14:paraId="032C6970" w14:textId="77777777" w:rsidR="000E735B" w:rsidRDefault="000E735B"/>
          <w:p w14:paraId="61ABCF40" w14:textId="77777777" w:rsidR="000E735B" w:rsidRDefault="000E735B"/>
        </w:tc>
        <w:tc>
          <w:tcPr>
            <w:tcW w:w="3150" w:type="dxa"/>
            <w:tcBorders>
              <w:right w:val="single" w:sz="8" w:space="0" w:color="000000"/>
            </w:tcBorders>
            <w:tcMar>
              <w:top w:w="100" w:type="dxa"/>
              <w:left w:w="100" w:type="dxa"/>
              <w:bottom w:w="100" w:type="dxa"/>
              <w:right w:w="100" w:type="dxa"/>
            </w:tcMar>
          </w:tcPr>
          <w:p w14:paraId="173AB4BA" w14:textId="77777777" w:rsidR="00406076" w:rsidRDefault="00406076"/>
        </w:tc>
        <w:tc>
          <w:tcPr>
            <w:tcW w:w="3035" w:type="dxa"/>
            <w:tcBorders>
              <w:right w:val="single" w:sz="8" w:space="0" w:color="000000"/>
            </w:tcBorders>
            <w:tcMar>
              <w:top w:w="100" w:type="dxa"/>
              <w:left w:w="100" w:type="dxa"/>
              <w:bottom w:w="100" w:type="dxa"/>
              <w:right w:w="100" w:type="dxa"/>
            </w:tcMar>
          </w:tcPr>
          <w:p w14:paraId="4233FB51" w14:textId="77777777" w:rsidR="00406076" w:rsidRDefault="00406076"/>
        </w:tc>
      </w:tr>
      <w:tr w:rsidR="00406076" w14:paraId="5502D41C" w14:textId="77777777" w:rsidTr="000E735B">
        <w:trPr>
          <w:trHeight w:val="935"/>
        </w:trPr>
        <w:tc>
          <w:tcPr>
            <w:tcW w:w="449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C7AB139" w14:textId="27434625" w:rsidR="00406076" w:rsidRDefault="00406076" w:rsidP="00406076">
            <w:pPr>
              <w:pStyle w:val="ListParagraph"/>
              <w:numPr>
                <w:ilvl w:val="0"/>
                <w:numId w:val="8"/>
              </w:numPr>
            </w:pPr>
            <w:r>
              <w:t xml:space="preserve">Gather, comprehend, </w:t>
            </w:r>
            <w:proofErr w:type="gramStart"/>
            <w:r>
              <w:t>apply</w:t>
            </w:r>
            <w:proofErr w:type="gramEnd"/>
            <w:r>
              <w:t xml:space="preserve"> and communicate credible information on scientific topics, evaluate evidence-based scientific arguments in a logical fashion, and distinguish between scientific and non</w:t>
            </w:r>
            <w:r>
              <w:rPr>
                <w:rFonts w:ascii="Cambria Math" w:hAnsi="Cambria Math" w:cs="Cambria Math"/>
              </w:rPr>
              <w:t>‐</w:t>
            </w:r>
            <w:r>
              <w:t>scientific evidence and explanations.</w:t>
            </w:r>
          </w:p>
        </w:tc>
        <w:tc>
          <w:tcPr>
            <w:tcW w:w="3330" w:type="dxa"/>
            <w:tcBorders>
              <w:bottom w:val="single" w:sz="8" w:space="0" w:color="000000"/>
              <w:right w:val="single" w:sz="8" w:space="0" w:color="000000"/>
            </w:tcBorders>
            <w:tcMar>
              <w:top w:w="100" w:type="dxa"/>
              <w:left w:w="100" w:type="dxa"/>
              <w:bottom w:w="100" w:type="dxa"/>
              <w:right w:w="100" w:type="dxa"/>
            </w:tcMar>
          </w:tcPr>
          <w:p w14:paraId="716F92A1" w14:textId="77777777" w:rsidR="00406076" w:rsidRDefault="00406076"/>
          <w:p w14:paraId="5862D310" w14:textId="77777777" w:rsidR="000E735B" w:rsidRDefault="000E735B"/>
          <w:p w14:paraId="7D87ADE5" w14:textId="77777777" w:rsidR="000E735B" w:rsidRDefault="000E735B"/>
          <w:p w14:paraId="4CC36B56" w14:textId="77777777" w:rsidR="000E735B" w:rsidRDefault="000E735B"/>
          <w:p w14:paraId="23DD5AB6" w14:textId="77777777" w:rsidR="000E735B" w:rsidRDefault="000E735B"/>
          <w:p w14:paraId="245ADB2F" w14:textId="77777777" w:rsidR="000E735B" w:rsidRDefault="000E735B"/>
          <w:p w14:paraId="6455E295" w14:textId="77777777" w:rsidR="000E735B" w:rsidRDefault="000E735B"/>
          <w:p w14:paraId="7E6575F3" w14:textId="77777777" w:rsidR="000E735B" w:rsidRDefault="000E735B"/>
          <w:p w14:paraId="41FB1DE1" w14:textId="77777777" w:rsidR="000E735B" w:rsidRDefault="000E735B"/>
          <w:p w14:paraId="39771954" w14:textId="77777777" w:rsidR="000E735B" w:rsidRDefault="000E735B"/>
          <w:p w14:paraId="79EDA601" w14:textId="77777777" w:rsidR="000E735B" w:rsidRDefault="000E735B"/>
        </w:tc>
        <w:tc>
          <w:tcPr>
            <w:tcW w:w="3150" w:type="dxa"/>
            <w:tcBorders>
              <w:bottom w:val="single" w:sz="8" w:space="0" w:color="000000"/>
              <w:right w:val="single" w:sz="8" w:space="0" w:color="000000"/>
            </w:tcBorders>
            <w:tcMar>
              <w:top w:w="100" w:type="dxa"/>
              <w:left w:w="100" w:type="dxa"/>
              <w:bottom w:w="100" w:type="dxa"/>
              <w:right w:w="100" w:type="dxa"/>
            </w:tcMar>
          </w:tcPr>
          <w:p w14:paraId="2D066D73" w14:textId="77777777" w:rsidR="00406076" w:rsidRDefault="00406076"/>
        </w:tc>
        <w:tc>
          <w:tcPr>
            <w:tcW w:w="3035" w:type="dxa"/>
            <w:tcBorders>
              <w:bottom w:val="single" w:sz="8" w:space="0" w:color="000000"/>
              <w:right w:val="single" w:sz="8" w:space="0" w:color="000000"/>
            </w:tcBorders>
            <w:tcMar>
              <w:top w:w="100" w:type="dxa"/>
              <w:left w:w="100" w:type="dxa"/>
              <w:bottom w:w="100" w:type="dxa"/>
              <w:right w:w="100" w:type="dxa"/>
            </w:tcMar>
          </w:tcPr>
          <w:p w14:paraId="6AA19CA2" w14:textId="77777777" w:rsidR="00406076" w:rsidRDefault="00406076"/>
        </w:tc>
      </w:tr>
    </w:tbl>
    <w:p w14:paraId="7019159C" w14:textId="77777777" w:rsidR="00785F44" w:rsidRDefault="00785F44"/>
    <w:p w14:paraId="0D5F0241" w14:textId="77777777" w:rsidR="00785F44" w:rsidRDefault="00000000">
      <w:pPr>
        <w:spacing w:after="200"/>
      </w:pPr>
      <w:r>
        <w:t xml:space="preserve"> </w:t>
      </w:r>
    </w:p>
    <w:p w14:paraId="6A4C441F" w14:textId="77777777" w:rsidR="000E735B" w:rsidRDefault="000E735B">
      <w:r>
        <w:br w:type="page"/>
      </w:r>
    </w:p>
    <w:tbl>
      <w:tblPr>
        <w:tblStyle w:val="a0"/>
        <w:tblW w:w="135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50"/>
        <w:gridCol w:w="7410"/>
      </w:tblGrid>
      <w:tr w:rsidR="00785F44" w14:paraId="46A7E856" w14:textId="77777777">
        <w:trPr>
          <w:trHeight w:val="1890"/>
        </w:trPr>
        <w:tc>
          <w:tcPr>
            <w:tcW w:w="6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E61F67" w14:textId="291373C0" w:rsidR="00785F44" w:rsidRDefault="00000000">
            <w:pPr>
              <w:jc w:val="center"/>
              <w:rPr>
                <w:b/>
              </w:rPr>
            </w:pPr>
            <w:r>
              <w:rPr>
                <w:b/>
              </w:rPr>
              <w:lastRenderedPageBreak/>
              <w:t>Acknowledgement</w:t>
            </w:r>
          </w:p>
          <w:p w14:paraId="5CCC0955" w14:textId="77777777" w:rsidR="001C1611" w:rsidRDefault="001C1611" w:rsidP="001C1611">
            <w:pPr>
              <w:spacing w:after="240"/>
              <w:rPr>
                <w:color w:val="333333"/>
              </w:rPr>
            </w:pPr>
          </w:p>
          <w:p w14:paraId="028E312D" w14:textId="77777777" w:rsidR="006101B7" w:rsidRDefault="006101B7" w:rsidP="00210E77">
            <w:pPr>
              <w:spacing w:before="240"/>
            </w:pPr>
            <w:r>
              <w:t xml:space="preserve">The Ohio Transfer 36 requires at least 6 semester hours of course credit in Natural Sciences, including at least one semester hour of course credit of Natural Sciences laboratory. Natural Sciences courses approved for inclusion within the Ohio Transfer 36 are introductory in nature, require college-level proficiencies appropriate to the course, and are taught at the lower division college level. Each course has a consistent content and a broad focus on one or more disciplines from within the physical and/or biological sciences, which include astronomy, biology, chemistry, environmental science, geology, physical </w:t>
            </w:r>
            <w:proofErr w:type="gramStart"/>
            <w:r>
              <w:t>geography</w:t>
            </w:r>
            <w:proofErr w:type="gramEnd"/>
            <w:r>
              <w:t xml:space="preserve"> and physics. Students completing courses in the Natural Science category should achieve the following learning outcomes through the study of natural sciences disciplines such as astronomy, biology, chemistry, environmental science, geology, physical geography, and physics. </w:t>
            </w:r>
          </w:p>
          <w:p w14:paraId="5ECE3695" w14:textId="77777777" w:rsidR="006101B7" w:rsidRDefault="006101B7" w:rsidP="00210E77">
            <w:pPr>
              <w:spacing w:before="240"/>
            </w:pPr>
            <w:r>
              <w:t xml:space="preserve">As appropriate to the discipline, the course highlights the nature of science, the importance of experimental inquiry in the Natural Sciences, and the way in which such inquiry into the natural world leads scientists to formulate principles that provide universal explanations of diverse phenomena. The course fosters an understanding and appreciation that all applicable evidence must be integrated into scientific models of the universe, and that scientific models must evolve. A course that focuses primarily on content coverage, without addressing each of the Student Learning Outcomes described herein, is not suitable as an Ohio Transfer 36 Natural Sciences course. </w:t>
            </w:r>
          </w:p>
          <w:p w14:paraId="37932196" w14:textId="24013EAD" w:rsidR="006101B7" w:rsidRDefault="006101B7" w:rsidP="00210E77">
            <w:pPr>
              <w:spacing w:before="240"/>
            </w:pPr>
            <w:r>
              <w:t xml:space="preserve">In completing the Natural Sciences requirements within the Ohio Transfer 36, students will accurately understand and describe the scope of scientific study and core theories and </w:t>
            </w:r>
            <w:r>
              <w:lastRenderedPageBreak/>
              <w:t xml:space="preserve">practices, in either or both the physical and biological sciences, using appropriate discipline-related terminology. </w:t>
            </w:r>
          </w:p>
          <w:p w14:paraId="52DFBD77" w14:textId="1E6C4397" w:rsidR="006101B7" w:rsidRPr="006101B7" w:rsidRDefault="006101B7" w:rsidP="00210E77">
            <w:pPr>
              <w:spacing w:before="240"/>
              <w:rPr>
                <w:b/>
                <w:bCs/>
                <w:u w:val="single"/>
              </w:rPr>
            </w:pPr>
            <w:r w:rsidRPr="006101B7">
              <w:rPr>
                <w:b/>
                <w:bCs/>
                <w:u w:val="single"/>
              </w:rPr>
              <w:t xml:space="preserve">Excluded </w:t>
            </w:r>
            <w:r>
              <w:rPr>
                <w:b/>
                <w:bCs/>
                <w:u w:val="single"/>
              </w:rPr>
              <w:t>c</w:t>
            </w:r>
            <w:r w:rsidRPr="006101B7">
              <w:rPr>
                <w:b/>
                <w:bCs/>
                <w:u w:val="single"/>
              </w:rPr>
              <w:t xml:space="preserve">ourses: </w:t>
            </w:r>
          </w:p>
          <w:p w14:paraId="2262E04B" w14:textId="77777777" w:rsidR="006101B7" w:rsidRPr="006101B7" w:rsidRDefault="006101B7" w:rsidP="006101B7">
            <w:pPr>
              <w:pStyle w:val="ListParagraph"/>
              <w:numPr>
                <w:ilvl w:val="0"/>
                <w:numId w:val="7"/>
              </w:numPr>
              <w:spacing w:before="240"/>
              <w:rPr>
                <w:color w:val="333333"/>
              </w:rPr>
            </w:pPr>
            <w:r>
              <w:t xml:space="preserve">Remedial or developmental courses, special topics courses, narrowly focused courses, technical or pre-technical courses and skills-based courses. </w:t>
            </w:r>
          </w:p>
          <w:p w14:paraId="038A36D9" w14:textId="77777777" w:rsidR="006101B7" w:rsidRPr="006101B7" w:rsidRDefault="006101B7" w:rsidP="006101B7">
            <w:pPr>
              <w:pStyle w:val="ListParagraph"/>
              <w:numPr>
                <w:ilvl w:val="0"/>
                <w:numId w:val="7"/>
              </w:numPr>
              <w:spacing w:before="240"/>
              <w:rPr>
                <w:color w:val="333333"/>
              </w:rPr>
            </w:pPr>
            <w:r>
              <w:t xml:space="preserve">Courses that focus exclusively on content coverage without addressing the learning outcomes for the Ohio Transfer 36. </w:t>
            </w:r>
          </w:p>
          <w:p w14:paraId="44BEE50E" w14:textId="77777777" w:rsidR="00785F44" w:rsidRPr="00406076" w:rsidRDefault="006101B7" w:rsidP="006101B7">
            <w:pPr>
              <w:pStyle w:val="ListParagraph"/>
              <w:numPr>
                <w:ilvl w:val="0"/>
                <w:numId w:val="7"/>
              </w:numPr>
              <w:spacing w:before="240"/>
              <w:rPr>
                <w:color w:val="333333"/>
              </w:rPr>
            </w:pPr>
            <w:r>
              <w:t>Career preparation courses, non-credit continuing education courses, and life experience courses (unless life experience credit, such as military training or other prior learning experience, becomes approved in the future for an Ohio Transfer 36 credit by the statewide faculty review panel).</w:t>
            </w:r>
          </w:p>
          <w:p w14:paraId="091E838A" w14:textId="77777777" w:rsidR="00406076" w:rsidRDefault="00406076" w:rsidP="00406076">
            <w:pPr>
              <w:spacing w:before="240"/>
            </w:pPr>
            <w:r w:rsidRPr="00406076">
              <w:rPr>
                <w:b/>
                <w:bCs/>
              </w:rPr>
              <w:t>Natural Sciences Laboratory Requirement:</w:t>
            </w:r>
            <w:r>
              <w:t xml:space="preserve"> students will complete at least one course within the Natural Sciences Ohio Transfer 36 that includes a laboratory component. This laboratory component must carry at least one credit hour and involve at least 1,500 minutes of laboratory activities (an average of no less than two hours per week for a traditional 15-week semester). During the course, students will demonstrate the application of the methods and tools of scientific inquiry appropriate to the discipline, by actively and directly collecting, analyzing, and interpreting data, presenting findings, and using information to answer questions. In addition to achieving the Student Learning Outcomes 1-8 detailed above, Ohio Transfer 36 approved courses that include a laboratory component1 will achieve all the following student learning objectives in the equivalent of at least 10 weeks (~2/3) of the course’s “laboratory activities”:  </w:t>
            </w:r>
          </w:p>
          <w:p w14:paraId="0B8B9DAD" w14:textId="77777777" w:rsidR="00406076" w:rsidRDefault="00406076" w:rsidP="00406076">
            <w:pPr>
              <w:pStyle w:val="ListParagraph"/>
              <w:numPr>
                <w:ilvl w:val="0"/>
                <w:numId w:val="9"/>
              </w:numPr>
              <w:spacing w:before="240"/>
            </w:pPr>
            <w:r>
              <w:lastRenderedPageBreak/>
              <w:t xml:space="preserve">involves realistic measurements of physical </w:t>
            </w:r>
            <w:proofErr w:type="gramStart"/>
            <w:r>
              <w:t>quantities;</w:t>
            </w:r>
            <w:proofErr w:type="gramEnd"/>
            <w:r>
              <w:t xml:space="preserve"> </w:t>
            </w:r>
          </w:p>
          <w:p w14:paraId="259F9F2F" w14:textId="77777777" w:rsidR="00406076" w:rsidRDefault="00406076" w:rsidP="00406076">
            <w:pPr>
              <w:pStyle w:val="ListParagraph"/>
              <w:numPr>
                <w:ilvl w:val="0"/>
                <w:numId w:val="9"/>
              </w:numPr>
              <w:spacing w:before="240"/>
            </w:pPr>
            <w:r>
              <w:t xml:space="preserve">involves data analysis, using data that are unique and/or physically authentic and that include random and/or systematic (natural) </w:t>
            </w:r>
            <w:proofErr w:type="gramStart"/>
            <w:r>
              <w:t>variability;</w:t>
            </w:r>
            <w:proofErr w:type="gramEnd"/>
            <w:r>
              <w:t xml:space="preserve"> </w:t>
            </w:r>
          </w:p>
          <w:p w14:paraId="722784D4" w14:textId="77777777" w:rsidR="00406076" w:rsidRDefault="00406076" w:rsidP="00406076">
            <w:pPr>
              <w:pStyle w:val="ListParagraph"/>
              <w:numPr>
                <w:ilvl w:val="0"/>
                <w:numId w:val="9"/>
              </w:numPr>
              <w:spacing w:before="240"/>
            </w:pPr>
            <w:r>
              <w:t xml:space="preserve">includes realistic interactions with experimental apparatus, and realistic manipulation of tools/ instruments and/or observed objects in space and </w:t>
            </w:r>
            <w:proofErr w:type="gramStart"/>
            <w:r>
              <w:t>time;</w:t>
            </w:r>
            <w:proofErr w:type="gramEnd"/>
            <w:r>
              <w:t xml:space="preserve"> </w:t>
            </w:r>
          </w:p>
          <w:p w14:paraId="4A5110BA" w14:textId="77777777" w:rsidR="00406076" w:rsidRDefault="00406076" w:rsidP="00406076">
            <w:pPr>
              <w:pStyle w:val="ListParagraph"/>
              <w:numPr>
                <w:ilvl w:val="0"/>
                <w:numId w:val="9"/>
              </w:numPr>
              <w:spacing w:before="240"/>
            </w:pPr>
            <w:r>
              <w:t xml:space="preserve">involves synchronous feedback² on safety (and consequences of unsafe actions), correctness of procedure, and progress toward experimental goals; and </w:t>
            </w:r>
          </w:p>
          <w:p w14:paraId="694F8F4F" w14:textId="11F74FE6" w:rsidR="00406076" w:rsidRPr="0008594A" w:rsidRDefault="00406076" w:rsidP="00406076">
            <w:pPr>
              <w:pStyle w:val="ListParagraph"/>
              <w:numPr>
                <w:ilvl w:val="0"/>
                <w:numId w:val="9"/>
              </w:numPr>
              <w:spacing w:before="240"/>
            </w:pPr>
            <w:r>
              <w:t xml:space="preserve">involves effective interaction with the instructor at several points during each lab activity. </w:t>
            </w:r>
          </w:p>
        </w:tc>
        <w:tc>
          <w:tcPr>
            <w:tcW w:w="741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C39C52F" w14:textId="47DC8C0C" w:rsidR="00785F44" w:rsidRDefault="00000000" w:rsidP="0067223D">
            <w:pPr>
              <w:pStyle w:val="ListParagraph"/>
              <w:numPr>
                <w:ilvl w:val="3"/>
                <w:numId w:val="4"/>
              </w:numPr>
              <w:spacing w:before="240" w:after="240"/>
              <w:rPr>
                <w:b/>
                <w:color w:val="333333"/>
              </w:rPr>
            </w:pPr>
            <w:r w:rsidRPr="0067223D">
              <w:rPr>
                <w:b/>
                <w:color w:val="333333"/>
              </w:rPr>
              <w:lastRenderedPageBreak/>
              <w:t xml:space="preserve">Please acknowledge that you have read the guidelines for types of courses approved for and excluded from the </w:t>
            </w:r>
            <w:r w:rsidR="006101B7">
              <w:rPr>
                <w:b/>
                <w:color w:val="333333"/>
              </w:rPr>
              <w:t>Natural Sciences</w:t>
            </w:r>
            <w:r w:rsidRPr="0067223D">
              <w:rPr>
                <w:b/>
                <w:color w:val="333333"/>
              </w:rPr>
              <w:t xml:space="preserve"> category of Ohio Transfer 36. </w:t>
            </w:r>
          </w:p>
          <w:p w14:paraId="0AB14EBB" w14:textId="77777777" w:rsidR="000E735B" w:rsidRDefault="000E735B" w:rsidP="000E735B">
            <w:pPr>
              <w:spacing w:before="240" w:after="240"/>
              <w:rPr>
                <w:b/>
                <w:color w:val="333333"/>
              </w:rPr>
            </w:pPr>
          </w:p>
          <w:p w14:paraId="65BEC518" w14:textId="77777777" w:rsidR="000E735B" w:rsidRDefault="000E735B" w:rsidP="000E735B">
            <w:pPr>
              <w:spacing w:before="240" w:after="240"/>
              <w:rPr>
                <w:b/>
                <w:color w:val="333333"/>
              </w:rPr>
            </w:pPr>
          </w:p>
          <w:p w14:paraId="17D3C485" w14:textId="77777777" w:rsidR="000E735B" w:rsidRDefault="000E735B" w:rsidP="000E735B">
            <w:pPr>
              <w:spacing w:before="240" w:after="240"/>
              <w:rPr>
                <w:b/>
                <w:color w:val="333333"/>
              </w:rPr>
            </w:pPr>
          </w:p>
          <w:p w14:paraId="1699E1C9" w14:textId="77777777" w:rsidR="000E735B" w:rsidRDefault="000E735B" w:rsidP="000E735B">
            <w:pPr>
              <w:spacing w:before="240" w:after="240"/>
              <w:rPr>
                <w:b/>
                <w:color w:val="333333"/>
              </w:rPr>
            </w:pPr>
          </w:p>
          <w:p w14:paraId="0C86DB4C" w14:textId="77777777" w:rsidR="000E735B" w:rsidRPr="000E735B" w:rsidRDefault="000E735B" w:rsidP="000E735B">
            <w:pPr>
              <w:spacing w:before="240" w:after="240"/>
              <w:rPr>
                <w:b/>
                <w:color w:val="333333"/>
              </w:rPr>
            </w:pPr>
          </w:p>
          <w:p w14:paraId="5204CF41" w14:textId="617BAA7F" w:rsidR="0067223D" w:rsidRPr="0067223D" w:rsidRDefault="0067223D" w:rsidP="0067223D">
            <w:pPr>
              <w:pStyle w:val="NormalWeb"/>
              <w:numPr>
                <w:ilvl w:val="3"/>
                <w:numId w:val="4"/>
              </w:numPr>
              <w:spacing w:before="0" w:beforeAutospacing="0" w:after="160" w:afterAutospacing="0"/>
              <w:rPr>
                <w:rFonts w:ascii="Arial" w:hAnsi="Arial" w:cs="Arial"/>
                <w:b/>
                <w:sz w:val="22"/>
                <w:szCs w:val="22"/>
              </w:rPr>
            </w:pPr>
            <w:r w:rsidRPr="0067223D">
              <w:rPr>
                <w:rFonts w:ascii="Arial" w:hAnsi="Arial" w:cs="Arial"/>
                <w:b/>
                <w:sz w:val="22"/>
                <w:szCs w:val="22"/>
              </w:rPr>
              <w:t xml:space="preserve">In addition, please acknowledge that the faculty member(s) and/or Ohio Transfer 36 Coordinator(s) preparing this submission have reviewed the </w:t>
            </w:r>
            <w:r w:rsidRPr="0067223D">
              <w:rPr>
                <w:rFonts w:ascii="Arial" w:hAnsi="Arial" w:cs="Arial"/>
                <w:b/>
                <w:color w:val="000000"/>
                <w:sz w:val="22"/>
                <w:szCs w:val="22"/>
              </w:rPr>
              <w:t xml:space="preserve">Ohio Transfer 36 Guidance Document for the discipline area of </w:t>
            </w:r>
            <w:r w:rsidR="006101B7">
              <w:rPr>
                <w:rFonts w:ascii="Arial" w:hAnsi="Arial" w:cs="Arial"/>
                <w:b/>
                <w:color w:val="000000"/>
                <w:sz w:val="22"/>
                <w:szCs w:val="22"/>
              </w:rPr>
              <w:t>Natural Sciences</w:t>
            </w:r>
            <w:r w:rsidRPr="0067223D">
              <w:rPr>
                <w:rFonts w:ascii="Arial" w:hAnsi="Arial" w:cs="Arial"/>
                <w:b/>
                <w:sz w:val="22"/>
                <w:szCs w:val="22"/>
              </w:rPr>
              <w:t xml:space="preserve"> and adhered to outlined guidance prior to course submission. </w:t>
            </w:r>
          </w:p>
          <w:p w14:paraId="3C488F22" w14:textId="77777777" w:rsidR="00785F44" w:rsidRPr="0067223D" w:rsidRDefault="00785F44">
            <w:pPr>
              <w:spacing w:before="240" w:after="240"/>
              <w:rPr>
                <w:b/>
                <w:color w:val="333333"/>
              </w:rPr>
            </w:pPr>
          </w:p>
        </w:tc>
      </w:tr>
    </w:tbl>
    <w:p w14:paraId="5F365DA8" w14:textId="67CFEF3F" w:rsidR="0008594A" w:rsidRDefault="0008594A" w:rsidP="00210E77">
      <w:pPr>
        <w:spacing w:after="200"/>
      </w:pPr>
    </w:p>
    <w:tbl>
      <w:tblPr>
        <w:tblStyle w:val="TableGrid"/>
        <w:tblW w:w="0" w:type="auto"/>
        <w:tblLook w:val="04A0" w:firstRow="1" w:lastRow="0" w:firstColumn="1" w:lastColumn="0" w:noHBand="0" w:noVBand="1"/>
      </w:tblPr>
      <w:tblGrid>
        <w:gridCol w:w="8050"/>
        <w:gridCol w:w="5175"/>
      </w:tblGrid>
      <w:tr w:rsidR="0008594A" w14:paraId="529B9FDB" w14:textId="77777777" w:rsidTr="00BE38C0">
        <w:tc>
          <w:tcPr>
            <w:tcW w:w="12950" w:type="dxa"/>
            <w:gridSpan w:val="2"/>
          </w:tcPr>
          <w:p w14:paraId="1BB62EEC" w14:textId="77777777" w:rsidR="0008594A" w:rsidRDefault="0008594A" w:rsidP="00BE38C0">
            <w:pPr>
              <w:rPr>
                <w:b/>
              </w:rPr>
            </w:pPr>
            <w:r>
              <w:rPr>
                <w:b/>
              </w:rPr>
              <w:t>If the course you are preparing for an Ohio Transfer 36 submission is a laboratory course or has a laboratory component, please also respond to the laboratory component.  P</w:t>
            </w:r>
            <w:r w:rsidRPr="002F4932">
              <w:rPr>
                <w:b/>
              </w:rPr>
              <w:t xml:space="preserve">lease provide a separate cover memo for </w:t>
            </w:r>
            <w:r w:rsidRPr="002F4932">
              <w:rPr>
                <w:b/>
                <w:u w:val="single"/>
              </w:rPr>
              <w:t>each</w:t>
            </w:r>
            <w:r w:rsidRPr="002F4932">
              <w:rPr>
                <w:b/>
              </w:rPr>
              <w:t xml:space="preserve"> mode of lab delivery to accompany the relevant version of the working syllabus (with each mode of delivery having its own unique working syllabus).  In each version of the cover memo, the faculty should explain in detail specifically how the lab component of the course via that delivery mode meets </w:t>
            </w:r>
            <w:r>
              <w:rPr>
                <w:b/>
              </w:rPr>
              <w:t xml:space="preserve">laboratory requirements.  </w:t>
            </w:r>
          </w:p>
          <w:p w14:paraId="3732C749" w14:textId="77777777" w:rsidR="0008594A" w:rsidRDefault="0008594A" w:rsidP="00BE38C0">
            <w:pPr>
              <w:rPr>
                <w:b/>
              </w:rPr>
            </w:pPr>
          </w:p>
          <w:p w14:paraId="32141429" w14:textId="77777777" w:rsidR="0008594A" w:rsidRPr="00FC46D9" w:rsidRDefault="0008594A" w:rsidP="00BE38C0">
            <w:pPr>
              <w:pStyle w:val="Default"/>
              <w:rPr>
                <w:rFonts w:cs="Arial"/>
                <w:sz w:val="22"/>
                <w:szCs w:val="22"/>
              </w:rPr>
            </w:pPr>
            <w:r w:rsidRPr="00921781">
              <w:rPr>
                <w:rFonts w:cs="Arial"/>
                <w:b/>
                <w:sz w:val="22"/>
                <w:szCs w:val="22"/>
              </w:rPr>
              <w:t>Natural Sciences Laboratory Requirement</w:t>
            </w:r>
            <w:r w:rsidRPr="00921781">
              <w:rPr>
                <w:rFonts w:cs="Arial"/>
                <w:sz w:val="22"/>
                <w:szCs w:val="22"/>
              </w:rPr>
              <w:t>: students will complete at least one course within the Natural Sciences O</w:t>
            </w:r>
            <w:r>
              <w:rPr>
                <w:rFonts w:cs="Arial"/>
                <w:sz w:val="22"/>
                <w:szCs w:val="22"/>
              </w:rPr>
              <w:t>hio Transfer 36</w:t>
            </w:r>
            <w:r w:rsidRPr="00921781">
              <w:rPr>
                <w:rFonts w:cs="Arial"/>
                <w:sz w:val="22"/>
                <w:szCs w:val="22"/>
              </w:rPr>
              <w:t xml:space="preserve"> that includes a laboratory component.  This laboratory component must carry at least one credit hour and involve at least 1,500 minutes of laboratory activities (an average of no less than two hours per week for a traditional 15</w:t>
            </w:r>
            <w:r>
              <w:rPr>
                <w:rFonts w:cs="Arial"/>
                <w:sz w:val="22"/>
                <w:szCs w:val="22"/>
              </w:rPr>
              <w:t>-</w:t>
            </w:r>
            <w:r w:rsidRPr="00921781">
              <w:rPr>
                <w:rFonts w:cs="Arial"/>
                <w:sz w:val="22"/>
                <w:szCs w:val="22"/>
              </w:rPr>
              <w:t>week semester).  During the course, s</w:t>
            </w:r>
            <w:r w:rsidRPr="001420EB">
              <w:rPr>
                <w:sz w:val="22"/>
                <w:szCs w:val="22"/>
              </w:rPr>
              <w:t>tudents will demonstrate the application of the methods and tools of scientific inquiry appropriate to the discipline, by actively and directly collecting, analyzing, and interpreting data, presenting findings, and using information to answer questions.</w:t>
            </w:r>
          </w:p>
          <w:p w14:paraId="47563E2A" w14:textId="77777777" w:rsidR="0008594A" w:rsidRDefault="0008594A" w:rsidP="00BE38C0"/>
        </w:tc>
      </w:tr>
      <w:tr w:rsidR="0008594A" w14:paraId="00EB54EE" w14:textId="77777777" w:rsidTr="00BE38C0">
        <w:tc>
          <w:tcPr>
            <w:tcW w:w="7775" w:type="dxa"/>
          </w:tcPr>
          <w:p w14:paraId="37508327" w14:textId="77777777" w:rsidR="0008594A" w:rsidRDefault="0008594A" w:rsidP="00BE38C0">
            <w:pPr>
              <w:ind w:left="360" w:hanging="360"/>
              <w:rPr>
                <w:rFonts w:cs="Arial"/>
              </w:rPr>
            </w:pPr>
            <w:r>
              <w:rPr>
                <w:rFonts w:cs="Arial"/>
              </w:rPr>
              <w:t xml:space="preserve">       In addition to achieving the Student Learning Outcomes 1-8 detailed above, Ohio Transfer 36 approved</w:t>
            </w:r>
            <w:r w:rsidRPr="00921781">
              <w:rPr>
                <w:rFonts w:cs="Arial"/>
              </w:rPr>
              <w:t xml:space="preserve"> </w:t>
            </w:r>
            <w:r>
              <w:rPr>
                <w:rFonts w:cs="Arial"/>
              </w:rPr>
              <w:t xml:space="preserve">courses that include a laboratory </w:t>
            </w:r>
            <w:r w:rsidRPr="00921781">
              <w:rPr>
                <w:rFonts w:cs="Arial"/>
              </w:rPr>
              <w:t>component</w:t>
            </w:r>
            <w:r w:rsidRPr="00921781">
              <w:rPr>
                <w:rFonts w:cs="Arial"/>
                <w:vertAlign w:val="superscript"/>
              </w:rPr>
              <w:t>1</w:t>
            </w:r>
            <w:r w:rsidRPr="00921781">
              <w:rPr>
                <w:rFonts w:cs="Arial"/>
              </w:rPr>
              <w:t xml:space="preserve"> will achieve </w:t>
            </w:r>
            <w:r w:rsidRPr="00762C98">
              <w:rPr>
                <w:rFonts w:cs="Arial"/>
                <w:u w:val="single"/>
              </w:rPr>
              <w:t>all</w:t>
            </w:r>
            <w:r w:rsidRPr="00921781">
              <w:rPr>
                <w:rFonts w:cs="Arial"/>
              </w:rPr>
              <w:t xml:space="preserve"> the following </w:t>
            </w:r>
            <w:r>
              <w:rPr>
                <w:rFonts w:cs="Arial"/>
              </w:rPr>
              <w:t xml:space="preserve">student </w:t>
            </w:r>
            <w:r w:rsidRPr="00921781">
              <w:rPr>
                <w:rFonts w:cs="Arial"/>
              </w:rPr>
              <w:t xml:space="preserve">learning objectives in the </w:t>
            </w:r>
            <w:r>
              <w:rPr>
                <w:rFonts w:cs="Arial"/>
              </w:rPr>
              <w:t>e</w:t>
            </w:r>
            <w:r w:rsidRPr="00921781">
              <w:rPr>
                <w:rFonts w:cs="Arial"/>
              </w:rPr>
              <w:t>quivalent of at least 10 weeks (~2/3) of the course’s “laboratory activities”:</w:t>
            </w:r>
          </w:p>
          <w:p w14:paraId="26C44CE8" w14:textId="77777777" w:rsidR="0008594A" w:rsidRPr="00921781" w:rsidRDefault="0008594A" w:rsidP="00BE38C0">
            <w:pPr>
              <w:ind w:left="360" w:hanging="360"/>
              <w:rPr>
                <w:rFonts w:cs="Arial"/>
              </w:rPr>
            </w:pPr>
          </w:p>
          <w:p w14:paraId="53C71CAC" w14:textId="77777777" w:rsidR="0008594A" w:rsidRPr="00921781" w:rsidRDefault="0008594A" w:rsidP="0008594A">
            <w:pPr>
              <w:numPr>
                <w:ilvl w:val="0"/>
                <w:numId w:val="10"/>
              </w:numPr>
              <w:ind w:left="810"/>
              <w:rPr>
                <w:rFonts w:cs="Arial"/>
              </w:rPr>
            </w:pPr>
            <w:r w:rsidRPr="00921781">
              <w:rPr>
                <w:rFonts w:cs="Arial"/>
              </w:rPr>
              <w:t xml:space="preserve">involves realistic measurements of physical </w:t>
            </w:r>
            <w:proofErr w:type="gramStart"/>
            <w:r w:rsidRPr="00921781">
              <w:rPr>
                <w:rFonts w:cs="Arial"/>
              </w:rPr>
              <w:t>quantities;</w:t>
            </w:r>
            <w:proofErr w:type="gramEnd"/>
            <w:r w:rsidRPr="00921781">
              <w:rPr>
                <w:rFonts w:cs="Arial"/>
              </w:rPr>
              <w:t xml:space="preserve"> </w:t>
            </w:r>
          </w:p>
          <w:p w14:paraId="18A3DBC3" w14:textId="77777777" w:rsidR="0008594A" w:rsidRPr="00921781" w:rsidRDefault="0008594A" w:rsidP="0008594A">
            <w:pPr>
              <w:numPr>
                <w:ilvl w:val="0"/>
                <w:numId w:val="10"/>
              </w:numPr>
              <w:ind w:left="810"/>
              <w:rPr>
                <w:rFonts w:cs="Arial"/>
              </w:rPr>
            </w:pPr>
            <w:r w:rsidRPr="00921781">
              <w:rPr>
                <w:rFonts w:cs="Arial"/>
              </w:rPr>
              <w:t xml:space="preserve">involves data analysis, using data that are unique and/or physically authentic and that include random and/or systematic (natural) </w:t>
            </w:r>
            <w:proofErr w:type="gramStart"/>
            <w:r w:rsidRPr="00921781">
              <w:rPr>
                <w:rFonts w:cs="Arial"/>
              </w:rPr>
              <w:t>variability;</w:t>
            </w:r>
            <w:proofErr w:type="gramEnd"/>
          </w:p>
          <w:p w14:paraId="6132832E" w14:textId="77777777" w:rsidR="0008594A" w:rsidRPr="00921781" w:rsidRDefault="0008594A" w:rsidP="0008594A">
            <w:pPr>
              <w:numPr>
                <w:ilvl w:val="0"/>
                <w:numId w:val="10"/>
              </w:numPr>
              <w:ind w:left="810"/>
              <w:rPr>
                <w:rFonts w:cs="Arial"/>
              </w:rPr>
            </w:pPr>
            <w:r w:rsidRPr="00921781">
              <w:rPr>
                <w:rFonts w:cs="Arial"/>
              </w:rPr>
              <w:lastRenderedPageBreak/>
              <w:t xml:space="preserve">includes realistic interactions with experimental apparatus, and realistic manipulation of tools/ instruments and/or observed objects in space and </w:t>
            </w:r>
            <w:proofErr w:type="gramStart"/>
            <w:r w:rsidRPr="00921781">
              <w:rPr>
                <w:rFonts w:cs="Arial"/>
              </w:rPr>
              <w:t>time;</w:t>
            </w:r>
            <w:proofErr w:type="gramEnd"/>
          </w:p>
          <w:p w14:paraId="69DF7684" w14:textId="77777777" w:rsidR="0008594A" w:rsidRPr="00921781" w:rsidRDefault="0008594A" w:rsidP="0008594A">
            <w:pPr>
              <w:numPr>
                <w:ilvl w:val="0"/>
                <w:numId w:val="10"/>
              </w:numPr>
              <w:ind w:left="810"/>
              <w:rPr>
                <w:rFonts w:cs="Arial"/>
              </w:rPr>
            </w:pPr>
            <w:r w:rsidRPr="00921781">
              <w:rPr>
                <w:rFonts w:cs="Arial"/>
              </w:rPr>
              <w:t>involves synchronous feedback² on safety (and consequences of unsafe actions), correctness of</w:t>
            </w:r>
            <w:r>
              <w:rPr>
                <w:rFonts w:cs="Arial"/>
              </w:rPr>
              <w:t xml:space="preserve"> </w:t>
            </w:r>
            <w:r w:rsidRPr="00921781">
              <w:rPr>
                <w:rFonts w:cs="Arial"/>
              </w:rPr>
              <w:t>procedure, and progress toward experimental goals; and</w:t>
            </w:r>
          </w:p>
          <w:p w14:paraId="3CD29AFE" w14:textId="77777777" w:rsidR="0008594A" w:rsidRPr="00921781" w:rsidRDefault="0008594A" w:rsidP="0008594A">
            <w:pPr>
              <w:numPr>
                <w:ilvl w:val="0"/>
                <w:numId w:val="10"/>
              </w:numPr>
              <w:ind w:left="810"/>
              <w:rPr>
                <w:rFonts w:cs="Arial"/>
              </w:rPr>
            </w:pPr>
            <w:r w:rsidRPr="00921781">
              <w:rPr>
                <w:rFonts w:cs="Arial"/>
              </w:rPr>
              <w:t>involves effective interaction with the instructor at several points during each lab activity.</w:t>
            </w:r>
          </w:p>
          <w:p w14:paraId="7690D178" w14:textId="77777777" w:rsidR="0008594A" w:rsidRDefault="0008594A" w:rsidP="00BE38C0">
            <w:pPr>
              <w:spacing w:line="360" w:lineRule="auto"/>
              <w:rPr>
                <w:i/>
                <w:sz w:val="18"/>
                <w:szCs w:val="21"/>
              </w:rPr>
            </w:pPr>
          </w:p>
          <w:p w14:paraId="2CC0E893" w14:textId="77777777" w:rsidR="0008594A" w:rsidRPr="00FB03E0" w:rsidRDefault="0008594A" w:rsidP="00BE38C0">
            <w:pPr>
              <w:spacing w:line="360" w:lineRule="auto"/>
              <w:rPr>
                <w:i/>
                <w:sz w:val="18"/>
                <w:szCs w:val="21"/>
              </w:rPr>
            </w:pPr>
            <w:r w:rsidRPr="00FB03E0">
              <w:rPr>
                <w:i/>
                <w:sz w:val="18"/>
                <w:szCs w:val="21"/>
              </w:rPr>
              <w:t xml:space="preserve">Footnotes: </w:t>
            </w:r>
          </w:p>
          <w:p w14:paraId="7FA70C2A" w14:textId="77777777" w:rsidR="0008594A" w:rsidRPr="00FB03E0" w:rsidRDefault="0008594A" w:rsidP="0008594A">
            <w:pPr>
              <w:numPr>
                <w:ilvl w:val="0"/>
                <w:numId w:val="11"/>
              </w:numPr>
              <w:spacing w:line="360" w:lineRule="auto"/>
              <w:rPr>
                <w:i/>
                <w:sz w:val="18"/>
                <w:szCs w:val="21"/>
              </w:rPr>
            </w:pPr>
            <w:r w:rsidRPr="00FB03E0">
              <w:rPr>
                <w:i/>
                <w:sz w:val="18"/>
                <w:szCs w:val="21"/>
              </w:rPr>
              <w:t xml:space="preserve">Some disciplines, such as astronomy, meteorology, and ecology, are more amenable to achieving a quality virtual educational lab experience.  By contrast, other disciplines, such as chemistry*, microbiology and physics, are much less likely to meet the expectations of an OTM science lab course if focused heavily on virtual lab experiences.  [*The American Chemical Society has released a Position Statement on this issue: </w:t>
            </w:r>
            <w:hyperlink r:id="rId5" w:history="1">
              <w:r w:rsidRPr="001420EB">
                <w:rPr>
                  <w:i/>
                  <w:color w:val="0563C1"/>
                  <w:sz w:val="18"/>
                  <w:szCs w:val="21"/>
                  <w:u w:val="single"/>
                </w:rPr>
                <w:t>https://www.acs.org/content/acs/en/policy/publicpolicies/invest/computersimulations.html</w:t>
              </w:r>
            </w:hyperlink>
            <w:r w:rsidRPr="001420EB">
              <w:rPr>
                <w:i/>
                <w:color w:val="0563C1"/>
                <w:sz w:val="18"/>
                <w:szCs w:val="21"/>
                <w:u w:val="single"/>
              </w:rPr>
              <w:t>.]</w:t>
            </w:r>
          </w:p>
          <w:p w14:paraId="468AB360" w14:textId="77777777" w:rsidR="0008594A" w:rsidRPr="00FB03E0" w:rsidRDefault="0008594A" w:rsidP="0008594A">
            <w:pPr>
              <w:numPr>
                <w:ilvl w:val="0"/>
                <w:numId w:val="11"/>
              </w:numPr>
              <w:spacing w:line="360" w:lineRule="auto"/>
              <w:rPr>
                <w:i/>
                <w:sz w:val="18"/>
                <w:szCs w:val="21"/>
              </w:rPr>
            </w:pPr>
            <w:r w:rsidRPr="00FB03E0">
              <w:rPr>
                <w:i/>
                <w:sz w:val="18"/>
                <w:szCs w:val="21"/>
              </w:rPr>
              <w:t>Synchronous feedback on safety could be achieved using sophisticated computational approaches or by actual instructor feedback.</w:t>
            </w:r>
          </w:p>
          <w:p w14:paraId="52103720" w14:textId="77777777" w:rsidR="0008594A" w:rsidRDefault="0008594A" w:rsidP="00BE38C0"/>
        </w:tc>
        <w:tc>
          <w:tcPr>
            <w:tcW w:w="5175" w:type="dxa"/>
          </w:tcPr>
          <w:p w14:paraId="531FAAE1" w14:textId="77777777" w:rsidR="0008594A" w:rsidRDefault="0008594A" w:rsidP="00BE38C0">
            <w:r>
              <w:lastRenderedPageBreak/>
              <w:t>When entering in CEMS, please simply enter “See the attached memo.”</w:t>
            </w:r>
          </w:p>
        </w:tc>
      </w:tr>
    </w:tbl>
    <w:p w14:paraId="2F1A36D4" w14:textId="77777777" w:rsidR="0008594A" w:rsidRDefault="0008594A" w:rsidP="00210E77">
      <w:pPr>
        <w:spacing w:after="200"/>
      </w:pPr>
    </w:p>
    <w:sectPr w:rsidR="0008594A" w:rsidSect="000E735B">
      <w:pgSz w:w="15840" w:h="12240" w:orient="landscape"/>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7478"/>
    <w:multiLevelType w:val="multilevel"/>
    <w:tmpl w:val="E1AE603C"/>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76B2828"/>
    <w:multiLevelType w:val="multilevel"/>
    <w:tmpl w:val="859E6EE8"/>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10047A6"/>
    <w:multiLevelType w:val="multilevel"/>
    <w:tmpl w:val="D1CAC314"/>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45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43CA648B"/>
    <w:multiLevelType w:val="multilevel"/>
    <w:tmpl w:val="D7F211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4E537A87"/>
    <w:multiLevelType w:val="hybridMultilevel"/>
    <w:tmpl w:val="FBEA0A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FE1359"/>
    <w:multiLevelType w:val="multilevel"/>
    <w:tmpl w:val="E78EF8E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549A6AD9"/>
    <w:multiLevelType w:val="hybridMultilevel"/>
    <w:tmpl w:val="F0D6C7EE"/>
    <w:lvl w:ilvl="0" w:tplc="44F279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95D4FFC"/>
    <w:multiLevelType w:val="multilevel"/>
    <w:tmpl w:val="CAB28D9A"/>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70E71EC2"/>
    <w:multiLevelType w:val="hybridMultilevel"/>
    <w:tmpl w:val="5E008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CE18CD"/>
    <w:multiLevelType w:val="hybridMultilevel"/>
    <w:tmpl w:val="2DB2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25A50"/>
    <w:multiLevelType w:val="hybridMultilevel"/>
    <w:tmpl w:val="D2F20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1077285">
    <w:abstractNumId w:val="1"/>
  </w:num>
  <w:num w:numId="2" w16cid:durableId="1859998896">
    <w:abstractNumId w:val="5"/>
  </w:num>
  <w:num w:numId="3" w16cid:durableId="700521036">
    <w:abstractNumId w:val="0"/>
  </w:num>
  <w:num w:numId="4" w16cid:durableId="2016035832">
    <w:abstractNumId w:val="2"/>
  </w:num>
  <w:num w:numId="5" w16cid:durableId="312762510">
    <w:abstractNumId w:val="3"/>
  </w:num>
  <w:num w:numId="6" w16cid:durableId="368188730">
    <w:abstractNumId w:val="10"/>
  </w:num>
  <w:num w:numId="7" w16cid:durableId="1387485372">
    <w:abstractNumId w:val="8"/>
  </w:num>
  <w:num w:numId="8" w16cid:durableId="1608541241">
    <w:abstractNumId w:val="6"/>
  </w:num>
  <w:num w:numId="9" w16cid:durableId="1750149172">
    <w:abstractNumId w:val="9"/>
  </w:num>
  <w:num w:numId="10" w16cid:durableId="850147976">
    <w:abstractNumId w:val="4"/>
  </w:num>
  <w:num w:numId="11" w16cid:durableId="688793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44"/>
    <w:rsid w:val="0008594A"/>
    <w:rsid w:val="000E735B"/>
    <w:rsid w:val="001C1611"/>
    <w:rsid w:val="00210E77"/>
    <w:rsid w:val="00406076"/>
    <w:rsid w:val="006101B7"/>
    <w:rsid w:val="0067223D"/>
    <w:rsid w:val="00785F44"/>
    <w:rsid w:val="007D734A"/>
    <w:rsid w:val="008A273E"/>
    <w:rsid w:val="008E29E4"/>
    <w:rsid w:val="00D6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27832"/>
  <w15:docId w15:val="{298C6E15-F488-4F78-AF97-90A52BC0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unhideWhenUsed/>
    <w:rsid w:val="0067223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7223D"/>
    <w:pPr>
      <w:ind w:left="720"/>
      <w:contextualSpacing/>
    </w:pPr>
  </w:style>
  <w:style w:type="character" w:styleId="Hyperlink">
    <w:name w:val="Hyperlink"/>
    <w:basedOn w:val="DefaultParagraphFont"/>
    <w:uiPriority w:val="99"/>
    <w:unhideWhenUsed/>
    <w:rsid w:val="00406076"/>
    <w:rPr>
      <w:color w:val="0000FF" w:themeColor="hyperlink"/>
      <w:u w:val="single"/>
    </w:rPr>
  </w:style>
  <w:style w:type="character" w:styleId="UnresolvedMention">
    <w:name w:val="Unresolved Mention"/>
    <w:basedOn w:val="DefaultParagraphFont"/>
    <w:uiPriority w:val="99"/>
    <w:semiHidden/>
    <w:unhideWhenUsed/>
    <w:rsid w:val="00406076"/>
    <w:rPr>
      <w:color w:val="605E5C"/>
      <w:shd w:val="clear" w:color="auto" w:fill="E1DFDD"/>
    </w:rPr>
  </w:style>
  <w:style w:type="table" w:styleId="TableGrid">
    <w:name w:val="Table Grid"/>
    <w:basedOn w:val="TableNormal"/>
    <w:uiPriority w:val="59"/>
    <w:rsid w:val="0008594A"/>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8594A"/>
    <w:pPr>
      <w:autoSpaceDE w:val="0"/>
      <w:autoSpaceDN w:val="0"/>
      <w:adjustRightInd w:val="0"/>
      <w:spacing w:line="240" w:lineRule="auto"/>
    </w:pPr>
    <w:rPr>
      <w:rFonts w:ascii="Times New Roman" w:eastAsiaTheme="minorHAns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cs.org/content/acs/en/policy/publicpolicies/invest/computersimula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1231</Words>
  <Characters>7489</Characters>
  <Application>Microsoft Office Word</Application>
  <DocSecurity>0</DocSecurity>
  <Lines>440</Lines>
  <Paragraphs>77</Paragraphs>
  <ScaleCrop>false</ScaleCrop>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 Spencer</dc:creator>
  <cp:lastModifiedBy>Marcus R Schultz-Bergin</cp:lastModifiedBy>
  <cp:revision>6</cp:revision>
  <dcterms:created xsi:type="dcterms:W3CDTF">2022-09-13T12:40:00Z</dcterms:created>
  <dcterms:modified xsi:type="dcterms:W3CDTF">2024-02-05T20:41:00Z</dcterms:modified>
</cp:coreProperties>
</file>