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488B" w14:textId="651C1207" w:rsidR="00785F44" w:rsidRDefault="00000000">
      <w:pPr>
        <w:rPr>
          <w:b/>
        </w:rPr>
      </w:pPr>
      <w:r>
        <w:rPr>
          <w:b/>
        </w:rPr>
        <w:t xml:space="preserve">Ohio Transfer 36 </w:t>
      </w:r>
      <w:r w:rsidR="00AB5602">
        <w:rPr>
          <w:b/>
        </w:rPr>
        <w:t>Oral Communication</w:t>
      </w:r>
      <w:r>
        <w:rPr>
          <w:b/>
        </w:rPr>
        <w:t xml:space="preserve"> Learning Outcome Template</w:t>
      </w:r>
    </w:p>
    <w:p w14:paraId="020AD772" w14:textId="77777777" w:rsidR="00785F44" w:rsidRDefault="00785F44"/>
    <w:tbl>
      <w:tblPr>
        <w:tblStyle w:val="a"/>
        <w:tblW w:w="14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06"/>
        <w:gridCol w:w="2433"/>
        <w:gridCol w:w="2433"/>
        <w:gridCol w:w="2433"/>
      </w:tblGrid>
      <w:tr w:rsidR="00785F44" w14:paraId="4F92FA2F" w14:textId="77777777" w:rsidTr="009A55C6">
        <w:trPr>
          <w:trHeight w:val="1655"/>
        </w:trPr>
        <w:tc>
          <w:tcPr>
            <w:tcW w:w="6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DA39" w14:textId="77777777" w:rsidR="00785F44" w:rsidRDefault="00785F44">
            <w:pPr>
              <w:jc w:val="center"/>
              <w:rPr>
                <w:b/>
              </w:rPr>
            </w:pPr>
          </w:p>
          <w:p w14:paraId="637BA42F" w14:textId="77777777" w:rsidR="00785F44" w:rsidRDefault="00000000">
            <w:pPr>
              <w:jc w:val="center"/>
              <w:rPr>
                <w:b/>
              </w:rPr>
            </w:pPr>
            <w:r>
              <w:rPr>
                <w:b/>
              </w:rPr>
              <w:t>Ohio Transfer 36 Learning Outcomes</w:t>
            </w:r>
          </w:p>
        </w:tc>
        <w:tc>
          <w:tcPr>
            <w:tcW w:w="243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568A00" w14:textId="77777777" w:rsidR="00785F44" w:rsidRDefault="00785F44">
            <w:pPr>
              <w:jc w:val="center"/>
              <w:rPr>
                <w:b/>
              </w:rPr>
            </w:pPr>
          </w:p>
          <w:p w14:paraId="27F8DD32" w14:textId="77777777" w:rsidR="00785F44" w:rsidRDefault="00000000">
            <w:pPr>
              <w:jc w:val="center"/>
            </w:pPr>
            <w:r>
              <w:rPr>
                <w:b/>
              </w:rPr>
              <w:t>A) Course Learning Outcomes/Content</w:t>
            </w:r>
            <w:r>
              <w:t xml:space="preserve"> </w:t>
            </w:r>
          </w:p>
        </w:tc>
        <w:tc>
          <w:tcPr>
            <w:tcW w:w="243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A8DAD" w14:textId="77777777" w:rsidR="00785F44" w:rsidRDefault="00785F44">
            <w:pPr>
              <w:jc w:val="center"/>
              <w:rPr>
                <w:b/>
              </w:rPr>
            </w:pPr>
          </w:p>
          <w:p w14:paraId="7429D666" w14:textId="77777777" w:rsidR="00785F44" w:rsidRDefault="00000000">
            <w:pPr>
              <w:jc w:val="center"/>
              <w:rPr>
                <w:b/>
              </w:rPr>
            </w:pPr>
            <w:r>
              <w:rPr>
                <w:b/>
              </w:rPr>
              <w:t>B) Assessment of Student Learning</w:t>
            </w:r>
          </w:p>
        </w:tc>
        <w:tc>
          <w:tcPr>
            <w:tcW w:w="243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12FBDF" w14:textId="77777777" w:rsidR="00785F44" w:rsidRDefault="00785F44">
            <w:pPr>
              <w:jc w:val="center"/>
              <w:rPr>
                <w:b/>
              </w:rPr>
            </w:pPr>
          </w:p>
          <w:p w14:paraId="67555461" w14:textId="77777777" w:rsidR="00785F44" w:rsidRDefault="00000000">
            <w:pPr>
              <w:jc w:val="center"/>
              <w:rPr>
                <w:b/>
              </w:rPr>
            </w:pPr>
            <w:r>
              <w:rPr>
                <w:b/>
              </w:rPr>
              <w:t>C) Key Locations of Evidence in Attached Documents</w:t>
            </w:r>
          </w:p>
        </w:tc>
      </w:tr>
      <w:tr w:rsidR="00FC2E0E" w14:paraId="63FB4095" w14:textId="77777777" w:rsidTr="009A55C6">
        <w:trPr>
          <w:trHeight w:val="935"/>
        </w:trPr>
        <w:tc>
          <w:tcPr>
            <w:tcW w:w="67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F6D3FB" w14:textId="77777777" w:rsidR="00FC2E0E" w:rsidRPr="00DB2089" w:rsidRDefault="00FC2E0E" w:rsidP="00FC2E0E">
            <w:pPr>
              <w:numPr>
                <w:ilvl w:val="0"/>
                <w:numId w:val="27"/>
              </w:numPr>
              <w:autoSpaceDE w:val="0"/>
              <w:autoSpaceDN w:val="0"/>
              <w:adjustRightInd w:val="0"/>
              <w:spacing w:line="240" w:lineRule="auto"/>
              <w:rPr>
                <w:rFonts w:cs="Calibri"/>
                <w:b/>
                <w:bCs/>
                <w:color w:val="000000"/>
              </w:rPr>
            </w:pPr>
            <w:r w:rsidRPr="00DB2089">
              <w:rPr>
                <w:rFonts w:cs="Calibri"/>
                <w:b/>
                <w:bCs/>
                <w:color w:val="000000"/>
              </w:rPr>
              <w:t>Preparation for performance/composition and organization of speeches</w:t>
            </w:r>
          </w:p>
          <w:p w14:paraId="5C2EEE97" w14:textId="77777777" w:rsidR="00FC2E0E" w:rsidRPr="00DB2089" w:rsidRDefault="00FC2E0E" w:rsidP="00FC2E0E">
            <w:pPr>
              <w:autoSpaceDE w:val="0"/>
              <w:autoSpaceDN w:val="0"/>
              <w:adjustRightInd w:val="0"/>
              <w:ind w:left="720"/>
              <w:rPr>
                <w:rFonts w:cs="Calibri"/>
                <w:b/>
                <w:bCs/>
                <w:color w:val="000000"/>
                <w:sz w:val="8"/>
                <w:szCs w:val="8"/>
              </w:rPr>
            </w:pPr>
          </w:p>
          <w:p w14:paraId="0F840FB8" w14:textId="77777777" w:rsidR="00FC2E0E" w:rsidRPr="00DB2089" w:rsidRDefault="00FC2E0E" w:rsidP="00FC2E0E">
            <w:pPr>
              <w:autoSpaceDE w:val="0"/>
              <w:autoSpaceDN w:val="0"/>
              <w:adjustRightInd w:val="0"/>
              <w:ind w:left="360"/>
              <w:rPr>
                <w:rFonts w:cs="Calibri"/>
                <w:color w:val="000000"/>
              </w:rPr>
            </w:pPr>
            <w:r w:rsidRPr="00DB2089">
              <w:rPr>
                <w:rFonts w:cs="Calibri"/>
                <w:i/>
                <w:iCs/>
                <w:color w:val="000000"/>
              </w:rPr>
              <w:t>Students develop speeches that are consistent and appropriate for the purpose, context, and audience</w:t>
            </w:r>
            <w:r w:rsidRPr="00DB2089">
              <w:rPr>
                <w:rFonts w:cs="Calibri"/>
                <w:color w:val="000000"/>
              </w:rPr>
              <w:t>.</w:t>
            </w:r>
          </w:p>
          <w:p w14:paraId="585BB8CB" w14:textId="77777777" w:rsidR="00FC2E0E" w:rsidRPr="00DB2089" w:rsidRDefault="00FC2E0E" w:rsidP="00FC2E0E">
            <w:pPr>
              <w:autoSpaceDE w:val="0"/>
              <w:autoSpaceDN w:val="0"/>
              <w:adjustRightInd w:val="0"/>
              <w:rPr>
                <w:rFonts w:cs="Calibri"/>
                <w:color w:val="000000"/>
              </w:rPr>
            </w:pPr>
          </w:p>
          <w:p w14:paraId="51CD315E" w14:textId="77777777" w:rsidR="00FC2E0E" w:rsidRPr="00DB2089" w:rsidRDefault="00FC2E0E" w:rsidP="00FC2E0E">
            <w:pPr>
              <w:autoSpaceDE w:val="0"/>
              <w:autoSpaceDN w:val="0"/>
              <w:adjustRightInd w:val="0"/>
              <w:ind w:left="360"/>
              <w:rPr>
                <w:rFonts w:cs="Calibri"/>
                <w:b/>
                <w:bCs/>
                <w:color w:val="000000"/>
              </w:rPr>
            </w:pPr>
            <w:r w:rsidRPr="00DB2089">
              <w:rPr>
                <w:rFonts w:cs="Calibri"/>
                <w:b/>
                <w:bCs/>
                <w:color w:val="000000"/>
              </w:rPr>
              <w:t>Students should be able to present speeches that are consistent and appropriate for the purpose, context, and audience. In order to demonstrate this outcome, by the end of the public speaking course, students should be able to</w:t>
            </w:r>
          </w:p>
          <w:p w14:paraId="47EBB306" w14:textId="77777777" w:rsidR="00FC2E0E" w:rsidRPr="00DB2089" w:rsidRDefault="00FC2E0E" w:rsidP="00FC2E0E">
            <w:pPr>
              <w:autoSpaceDE w:val="0"/>
              <w:autoSpaceDN w:val="0"/>
              <w:adjustRightInd w:val="0"/>
              <w:ind w:left="720"/>
              <w:rPr>
                <w:rFonts w:cs="Calibri"/>
                <w:b/>
                <w:bCs/>
                <w:color w:val="000000"/>
              </w:rPr>
            </w:pPr>
          </w:p>
          <w:p w14:paraId="383FB8C8" w14:textId="77777777" w:rsidR="00FC2E0E" w:rsidRPr="00DB2089" w:rsidRDefault="00FC2E0E" w:rsidP="00FC2E0E">
            <w:pPr>
              <w:pStyle w:val="ListParagraph"/>
              <w:numPr>
                <w:ilvl w:val="0"/>
                <w:numId w:val="26"/>
              </w:numPr>
              <w:autoSpaceDE w:val="0"/>
              <w:autoSpaceDN w:val="0"/>
              <w:adjustRightInd w:val="0"/>
              <w:spacing w:line="240" w:lineRule="auto"/>
              <w:rPr>
                <w:rFonts w:cs="Calibri"/>
                <w:color w:val="000000"/>
              </w:rPr>
            </w:pPr>
            <w:r w:rsidRPr="00DB2089">
              <w:rPr>
                <w:rFonts w:cs="Calibri"/>
                <w:color w:val="000000"/>
              </w:rPr>
              <w:t>Apply organizational skills to construct speeches that are context appropriate. Give several informal and formal speeches in a variety of genres.</w:t>
            </w:r>
          </w:p>
          <w:p w14:paraId="7FA0B50E" w14:textId="77777777" w:rsidR="00FC2E0E" w:rsidRPr="00DB2089" w:rsidRDefault="00FC2E0E" w:rsidP="00FC2E0E">
            <w:pPr>
              <w:pStyle w:val="ListParagraph"/>
              <w:numPr>
                <w:ilvl w:val="0"/>
                <w:numId w:val="26"/>
              </w:numPr>
              <w:autoSpaceDE w:val="0"/>
              <w:autoSpaceDN w:val="0"/>
              <w:adjustRightInd w:val="0"/>
              <w:spacing w:line="240" w:lineRule="auto"/>
              <w:rPr>
                <w:rFonts w:cs="Calibri"/>
                <w:color w:val="000000"/>
              </w:rPr>
            </w:pPr>
            <w:r w:rsidRPr="00DB2089">
              <w:rPr>
                <w:rFonts w:cs="Calibri"/>
                <w:color w:val="000000"/>
              </w:rPr>
              <w:t>Practice communicating for a variety of purposes and distinguish among those purposes.</w:t>
            </w:r>
          </w:p>
          <w:p w14:paraId="534EE993" w14:textId="77777777" w:rsidR="00FC2E0E" w:rsidRPr="00DB2089" w:rsidRDefault="00FC2E0E" w:rsidP="00FC2E0E">
            <w:pPr>
              <w:pStyle w:val="ListParagraph"/>
              <w:numPr>
                <w:ilvl w:val="0"/>
                <w:numId w:val="26"/>
              </w:numPr>
              <w:autoSpaceDE w:val="0"/>
              <w:autoSpaceDN w:val="0"/>
              <w:adjustRightInd w:val="0"/>
              <w:spacing w:line="240" w:lineRule="auto"/>
              <w:rPr>
                <w:rFonts w:cs="Calibri"/>
                <w:color w:val="000000"/>
              </w:rPr>
            </w:pPr>
            <w:r w:rsidRPr="00DB2089">
              <w:rPr>
                <w:rFonts w:cs="Calibri"/>
                <w:color w:val="000000"/>
              </w:rPr>
              <w:t>Recognize the importance of audience analysis and adaptation in public speaking. Develop and adapt messages, style, and delivery to meet the needs of diverse audiences. Use speeches to embrace difference, demonstrate diversity and inclusion, and understand relationships between cultures.</w:t>
            </w:r>
          </w:p>
          <w:p w14:paraId="15638040" w14:textId="77777777" w:rsidR="00FC2E0E" w:rsidRPr="00DB2089" w:rsidRDefault="00FC2E0E" w:rsidP="00FC2E0E">
            <w:pPr>
              <w:pStyle w:val="ListParagraph"/>
              <w:numPr>
                <w:ilvl w:val="0"/>
                <w:numId w:val="26"/>
              </w:numPr>
              <w:autoSpaceDE w:val="0"/>
              <w:autoSpaceDN w:val="0"/>
              <w:adjustRightInd w:val="0"/>
              <w:spacing w:line="240" w:lineRule="auto"/>
              <w:rPr>
                <w:rFonts w:cs="Calibri"/>
                <w:color w:val="000000"/>
              </w:rPr>
            </w:pPr>
            <w:r w:rsidRPr="00DB2089">
              <w:rPr>
                <w:rFonts w:cs="Calibri"/>
                <w:color w:val="000000"/>
              </w:rPr>
              <w:t xml:space="preserve">Become fully informed about the subject matter by researching topics responsibly and ethically. </w:t>
            </w:r>
            <w:r w:rsidRPr="00DB2089">
              <w:rPr>
                <w:rFonts w:cs="Calibri"/>
                <w:color w:val="000000"/>
              </w:rPr>
              <w:lastRenderedPageBreak/>
              <w:t xml:space="preserve">Research may involve finding and retrieving information from personal experience as well as published sources. </w:t>
            </w:r>
          </w:p>
          <w:p w14:paraId="253BD48B" w14:textId="77777777" w:rsidR="00FC2E0E" w:rsidRPr="00DB2089" w:rsidRDefault="00FC2E0E" w:rsidP="00FC2E0E">
            <w:pPr>
              <w:pStyle w:val="ListParagraph"/>
              <w:numPr>
                <w:ilvl w:val="0"/>
                <w:numId w:val="26"/>
              </w:numPr>
              <w:autoSpaceDE w:val="0"/>
              <w:autoSpaceDN w:val="0"/>
              <w:adjustRightInd w:val="0"/>
              <w:spacing w:line="240" w:lineRule="auto"/>
              <w:rPr>
                <w:rFonts w:cs="Calibri"/>
                <w:color w:val="000000"/>
              </w:rPr>
            </w:pPr>
            <w:r w:rsidRPr="00DB2089">
              <w:rPr>
                <w:rFonts w:cs="Calibri"/>
                <w:color w:val="000000"/>
              </w:rPr>
              <w:t xml:space="preserve">Critically examine sources for credibility, accuracy, relevance, and usefulness. </w:t>
            </w:r>
          </w:p>
          <w:p w14:paraId="0355A24E" w14:textId="77777777" w:rsidR="00FC2E0E" w:rsidRPr="00DB2089" w:rsidRDefault="00FC2E0E" w:rsidP="00FC2E0E">
            <w:pPr>
              <w:pStyle w:val="ListParagraph"/>
              <w:numPr>
                <w:ilvl w:val="0"/>
                <w:numId w:val="26"/>
              </w:numPr>
              <w:autoSpaceDE w:val="0"/>
              <w:autoSpaceDN w:val="0"/>
              <w:adjustRightInd w:val="0"/>
              <w:spacing w:line="240" w:lineRule="auto"/>
              <w:rPr>
                <w:rFonts w:cs="Calibri"/>
                <w:color w:val="000000"/>
              </w:rPr>
            </w:pPr>
            <w:r w:rsidRPr="00DB2089">
              <w:rPr>
                <w:rFonts w:cs="Calibri"/>
                <w:color w:val="000000"/>
              </w:rPr>
              <w:t>Synthesize information from multiple sources to construct an argument. Appropriately cite sources.</w:t>
            </w:r>
          </w:p>
          <w:p w14:paraId="68D539B2" w14:textId="4F511A20" w:rsidR="00FC2E0E" w:rsidRPr="00B81B05" w:rsidRDefault="00FC2E0E" w:rsidP="00FC2E0E">
            <w:pPr>
              <w:spacing w:line="240" w:lineRule="auto"/>
              <w:rPr>
                <w:b/>
              </w:rPr>
            </w:pPr>
          </w:p>
        </w:tc>
        <w:tc>
          <w:tcPr>
            <w:tcW w:w="2433" w:type="dxa"/>
            <w:tcBorders>
              <w:bottom w:val="single" w:sz="8" w:space="0" w:color="000000"/>
              <w:right w:val="single" w:sz="8" w:space="0" w:color="000000"/>
            </w:tcBorders>
            <w:tcMar>
              <w:top w:w="100" w:type="dxa"/>
              <w:left w:w="100" w:type="dxa"/>
              <w:bottom w:w="100" w:type="dxa"/>
              <w:right w:w="100" w:type="dxa"/>
            </w:tcMar>
          </w:tcPr>
          <w:p w14:paraId="571342B2" w14:textId="2FCBB47B" w:rsidR="00FC2E0E" w:rsidRDefault="00FC2E0E" w:rsidP="00FC2E0E">
            <w:pPr>
              <w:rPr>
                <w:b/>
              </w:rPr>
            </w:pPr>
          </w:p>
        </w:tc>
        <w:tc>
          <w:tcPr>
            <w:tcW w:w="2433" w:type="dxa"/>
            <w:tcBorders>
              <w:bottom w:val="single" w:sz="8" w:space="0" w:color="000000"/>
              <w:right w:val="single" w:sz="8" w:space="0" w:color="000000"/>
            </w:tcBorders>
            <w:tcMar>
              <w:top w:w="100" w:type="dxa"/>
              <w:left w:w="100" w:type="dxa"/>
              <w:bottom w:w="100" w:type="dxa"/>
              <w:right w:w="100" w:type="dxa"/>
            </w:tcMar>
          </w:tcPr>
          <w:p w14:paraId="18F2891F" w14:textId="34D78F9A" w:rsidR="00FC2E0E" w:rsidRDefault="00FC2E0E" w:rsidP="00FC2E0E">
            <w:pPr>
              <w:rPr>
                <w:b/>
              </w:rPr>
            </w:pPr>
          </w:p>
        </w:tc>
        <w:tc>
          <w:tcPr>
            <w:tcW w:w="2433" w:type="dxa"/>
            <w:tcBorders>
              <w:bottom w:val="single" w:sz="8" w:space="0" w:color="000000"/>
              <w:right w:val="single" w:sz="8" w:space="0" w:color="000000"/>
            </w:tcBorders>
            <w:tcMar>
              <w:top w:w="100" w:type="dxa"/>
              <w:left w:w="100" w:type="dxa"/>
              <w:bottom w:w="100" w:type="dxa"/>
              <w:right w:w="100" w:type="dxa"/>
            </w:tcMar>
          </w:tcPr>
          <w:p w14:paraId="2B8337AA" w14:textId="4CACD445" w:rsidR="00FC2E0E" w:rsidRDefault="00FC2E0E" w:rsidP="00FC2E0E">
            <w:pPr>
              <w:rPr>
                <w:b/>
              </w:rPr>
            </w:pPr>
          </w:p>
        </w:tc>
      </w:tr>
      <w:tr w:rsidR="00FC2E0E" w14:paraId="2FD0EF3F" w14:textId="77777777" w:rsidTr="009A55C6">
        <w:trPr>
          <w:trHeight w:val="935"/>
        </w:trPr>
        <w:tc>
          <w:tcPr>
            <w:tcW w:w="67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403A98" w14:textId="77777777" w:rsidR="00FC2E0E" w:rsidRPr="00DB2089" w:rsidRDefault="00FC2E0E" w:rsidP="00FC2E0E">
            <w:pPr>
              <w:pStyle w:val="Default"/>
              <w:numPr>
                <w:ilvl w:val="0"/>
                <w:numId w:val="27"/>
              </w:numPr>
              <w:spacing w:line="276" w:lineRule="auto"/>
              <w:rPr>
                <w:b/>
                <w:bCs/>
                <w:sz w:val="22"/>
                <w:szCs w:val="22"/>
              </w:rPr>
            </w:pPr>
            <w:r w:rsidRPr="00DB2089">
              <w:rPr>
                <w:b/>
                <w:bCs/>
                <w:sz w:val="22"/>
                <w:szCs w:val="22"/>
              </w:rPr>
              <w:t>Delivery of messages</w:t>
            </w:r>
          </w:p>
          <w:p w14:paraId="46148BCC" w14:textId="77777777" w:rsidR="00FC2E0E" w:rsidRPr="00DB2089" w:rsidRDefault="00FC2E0E" w:rsidP="00FC2E0E">
            <w:pPr>
              <w:pStyle w:val="Default"/>
              <w:spacing w:line="276" w:lineRule="auto"/>
              <w:ind w:left="720"/>
              <w:rPr>
                <w:b/>
                <w:bCs/>
                <w:sz w:val="8"/>
                <w:szCs w:val="8"/>
              </w:rPr>
            </w:pPr>
          </w:p>
          <w:p w14:paraId="1D43DBE4" w14:textId="77777777" w:rsidR="00FC2E0E" w:rsidRPr="00DB2089" w:rsidRDefault="00FC2E0E" w:rsidP="00FC2E0E">
            <w:pPr>
              <w:pStyle w:val="Default"/>
              <w:ind w:left="360"/>
              <w:rPr>
                <w:sz w:val="22"/>
                <w:szCs w:val="22"/>
              </w:rPr>
            </w:pPr>
            <w:r w:rsidRPr="00DB2089">
              <w:rPr>
                <w:i/>
                <w:iCs/>
                <w:sz w:val="22"/>
                <w:szCs w:val="22"/>
              </w:rPr>
              <w:t>Students present speeches using effective verbal and nonverbal delivery techniques and appropriate presentational aids.</w:t>
            </w:r>
            <w:r w:rsidRPr="00DB2089">
              <w:rPr>
                <w:sz w:val="22"/>
                <w:szCs w:val="22"/>
              </w:rPr>
              <w:t xml:space="preserve"> </w:t>
            </w:r>
          </w:p>
          <w:p w14:paraId="4F5777F1" w14:textId="77777777" w:rsidR="00FC2E0E" w:rsidRPr="00DB2089" w:rsidRDefault="00FC2E0E" w:rsidP="00FC2E0E">
            <w:pPr>
              <w:pStyle w:val="Default"/>
              <w:ind w:left="360"/>
              <w:rPr>
                <w:sz w:val="22"/>
                <w:szCs w:val="22"/>
              </w:rPr>
            </w:pPr>
          </w:p>
          <w:p w14:paraId="69A148A4" w14:textId="77777777" w:rsidR="00FC2E0E" w:rsidRPr="00DB2089" w:rsidRDefault="00FC2E0E" w:rsidP="00FC2E0E">
            <w:pPr>
              <w:pStyle w:val="Default"/>
              <w:ind w:firstLine="360"/>
              <w:rPr>
                <w:b/>
                <w:bCs/>
                <w:sz w:val="22"/>
                <w:szCs w:val="22"/>
              </w:rPr>
            </w:pPr>
            <w:r w:rsidRPr="00DB2089">
              <w:rPr>
                <w:b/>
                <w:bCs/>
                <w:sz w:val="22"/>
                <w:szCs w:val="22"/>
              </w:rPr>
              <w:t>By the end of their public speaking course, students should be able to</w:t>
            </w:r>
          </w:p>
          <w:p w14:paraId="6B6CB196" w14:textId="77777777" w:rsidR="00FC2E0E" w:rsidRPr="00DB2089" w:rsidRDefault="00FC2E0E" w:rsidP="00FC2E0E">
            <w:pPr>
              <w:pStyle w:val="Default"/>
              <w:ind w:firstLine="360"/>
              <w:rPr>
                <w:b/>
                <w:bCs/>
                <w:sz w:val="22"/>
                <w:szCs w:val="22"/>
              </w:rPr>
            </w:pPr>
          </w:p>
          <w:p w14:paraId="43E5CAEB" w14:textId="77777777" w:rsidR="00FC2E0E" w:rsidRPr="00DB2089" w:rsidRDefault="00FC2E0E" w:rsidP="00FC2E0E">
            <w:pPr>
              <w:pStyle w:val="Default"/>
              <w:numPr>
                <w:ilvl w:val="0"/>
                <w:numId w:val="28"/>
              </w:numPr>
              <w:rPr>
                <w:sz w:val="22"/>
                <w:szCs w:val="22"/>
              </w:rPr>
            </w:pPr>
            <w:r w:rsidRPr="00DB2089">
              <w:rPr>
                <w:sz w:val="22"/>
                <w:szCs w:val="22"/>
              </w:rPr>
              <w:t>Use appropriate and effective verbal and nonverbal delivery. Use delivery techniques (posture, gesture, eye contact, pauses, and vocal expressiveness) and language choices that make the speech understandable.</w:t>
            </w:r>
          </w:p>
          <w:p w14:paraId="61A663EC" w14:textId="77777777" w:rsidR="00FC2E0E" w:rsidRPr="00DB2089" w:rsidRDefault="00FC2E0E" w:rsidP="00FC2E0E">
            <w:pPr>
              <w:pStyle w:val="Default"/>
              <w:numPr>
                <w:ilvl w:val="0"/>
                <w:numId w:val="28"/>
              </w:numPr>
              <w:rPr>
                <w:sz w:val="22"/>
                <w:szCs w:val="22"/>
              </w:rPr>
            </w:pPr>
            <w:r w:rsidRPr="00DB2089">
              <w:rPr>
                <w:sz w:val="22"/>
                <w:szCs w:val="22"/>
              </w:rPr>
              <w:t>Present well-developed and appropriately organized informative material and persuasive arguments.</w:t>
            </w:r>
          </w:p>
          <w:p w14:paraId="47544AAC" w14:textId="77777777" w:rsidR="00FC2E0E" w:rsidRPr="00DB2089" w:rsidRDefault="00FC2E0E" w:rsidP="00FC2E0E">
            <w:pPr>
              <w:pStyle w:val="Default"/>
              <w:numPr>
                <w:ilvl w:val="0"/>
                <w:numId w:val="28"/>
              </w:numPr>
              <w:rPr>
                <w:sz w:val="22"/>
                <w:szCs w:val="22"/>
              </w:rPr>
            </w:pPr>
            <w:r w:rsidRPr="00DB2089">
              <w:rPr>
                <w:sz w:val="22"/>
                <w:szCs w:val="22"/>
              </w:rPr>
              <w:t xml:space="preserve">Use presentational aids or technology </w:t>
            </w:r>
            <w:r>
              <w:rPr>
                <w:sz w:val="22"/>
                <w:szCs w:val="22"/>
              </w:rPr>
              <w:t xml:space="preserve">in </w:t>
            </w:r>
            <w:r w:rsidRPr="00DB2089">
              <w:rPr>
                <w:sz w:val="22"/>
                <w:szCs w:val="22"/>
              </w:rPr>
              <w:t>ways that enhance speeches.</w:t>
            </w:r>
          </w:p>
          <w:p w14:paraId="07C17E95" w14:textId="77777777" w:rsidR="00FC2E0E" w:rsidRPr="00DB2089" w:rsidRDefault="00FC2E0E" w:rsidP="00FC2E0E">
            <w:pPr>
              <w:pStyle w:val="Default"/>
              <w:numPr>
                <w:ilvl w:val="0"/>
                <w:numId w:val="28"/>
              </w:numPr>
              <w:rPr>
                <w:sz w:val="22"/>
                <w:szCs w:val="22"/>
              </w:rPr>
            </w:pPr>
            <w:r w:rsidRPr="00DB2089">
              <w:rPr>
                <w:sz w:val="22"/>
                <w:szCs w:val="22"/>
              </w:rPr>
              <w:t>Manage communication apprehension and increase confidence across communication contexts. Speakers should appear comfortable.</w:t>
            </w:r>
          </w:p>
          <w:p w14:paraId="2521C24B" w14:textId="77777777" w:rsidR="00FC2E0E" w:rsidRDefault="00FC2E0E" w:rsidP="00FC2E0E">
            <w:pPr>
              <w:pStyle w:val="Default"/>
              <w:numPr>
                <w:ilvl w:val="0"/>
                <w:numId w:val="28"/>
              </w:numPr>
              <w:rPr>
                <w:sz w:val="22"/>
                <w:szCs w:val="22"/>
              </w:rPr>
            </w:pPr>
            <w:r w:rsidRPr="00DB2089">
              <w:rPr>
                <w:sz w:val="22"/>
                <w:szCs w:val="22"/>
              </w:rPr>
              <w:t>Monitor and adjust the speech according to audience feedback. Manage time appropriately.</w:t>
            </w:r>
          </w:p>
          <w:p w14:paraId="6E5E45D2" w14:textId="1B277883" w:rsidR="00FC2E0E" w:rsidRPr="009A55C6" w:rsidRDefault="00FC2E0E" w:rsidP="00FC2E0E">
            <w:r w:rsidRPr="00DB2089">
              <w:t>Make clear distinctions between speakers’ ideas and ideas of others</w:t>
            </w:r>
          </w:p>
        </w:tc>
        <w:tc>
          <w:tcPr>
            <w:tcW w:w="2433" w:type="dxa"/>
            <w:tcBorders>
              <w:bottom w:val="single" w:sz="8" w:space="0" w:color="000000"/>
              <w:right w:val="single" w:sz="8" w:space="0" w:color="000000"/>
            </w:tcBorders>
            <w:tcMar>
              <w:top w:w="100" w:type="dxa"/>
              <w:left w:w="100" w:type="dxa"/>
              <w:bottom w:w="100" w:type="dxa"/>
              <w:right w:w="100" w:type="dxa"/>
            </w:tcMar>
          </w:tcPr>
          <w:p w14:paraId="31A97364" w14:textId="77777777" w:rsidR="00FC2E0E" w:rsidRDefault="00FC2E0E" w:rsidP="00FC2E0E">
            <w:r>
              <w:t xml:space="preserve"> </w:t>
            </w:r>
          </w:p>
        </w:tc>
        <w:tc>
          <w:tcPr>
            <w:tcW w:w="2433" w:type="dxa"/>
            <w:tcBorders>
              <w:bottom w:val="single" w:sz="8" w:space="0" w:color="000000"/>
              <w:right w:val="single" w:sz="8" w:space="0" w:color="000000"/>
            </w:tcBorders>
            <w:tcMar>
              <w:top w:w="100" w:type="dxa"/>
              <w:left w:w="100" w:type="dxa"/>
              <w:bottom w:w="100" w:type="dxa"/>
              <w:right w:w="100" w:type="dxa"/>
            </w:tcMar>
          </w:tcPr>
          <w:p w14:paraId="4CBC7E99" w14:textId="77777777" w:rsidR="00FC2E0E" w:rsidRDefault="00FC2E0E" w:rsidP="00FC2E0E">
            <w:r>
              <w:t xml:space="preserve"> </w:t>
            </w:r>
          </w:p>
        </w:tc>
        <w:tc>
          <w:tcPr>
            <w:tcW w:w="2433" w:type="dxa"/>
            <w:tcBorders>
              <w:bottom w:val="single" w:sz="8" w:space="0" w:color="000000"/>
              <w:right w:val="single" w:sz="8" w:space="0" w:color="000000"/>
            </w:tcBorders>
            <w:tcMar>
              <w:top w:w="100" w:type="dxa"/>
              <w:left w:w="100" w:type="dxa"/>
              <w:bottom w:w="100" w:type="dxa"/>
              <w:right w:w="100" w:type="dxa"/>
            </w:tcMar>
          </w:tcPr>
          <w:p w14:paraId="7651810E" w14:textId="77777777" w:rsidR="00FC2E0E" w:rsidRDefault="00FC2E0E" w:rsidP="00FC2E0E">
            <w:r>
              <w:t xml:space="preserve"> </w:t>
            </w:r>
          </w:p>
        </w:tc>
      </w:tr>
      <w:tr w:rsidR="00FC2E0E" w14:paraId="2290E9DD" w14:textId="77777777" w:rsidTr="00D55A3F">
        <w:trPr>
          <w:trHeight w:val="935"/>
        </w:trPr>
        <w:tc>
          <w:tcPr>
            <w:tcW w:w="6706" w:type="dxa"/>
            <w:tcBorders>
              <w:left w:val="single" w:sz="8" w:space="0" w:color="000000"/>
              <w:right w:val="single" w:sz="8" w:space="0" w:color="000000"/>
            </w:tcBorders>
            <w:tcMar>
              <w:top w:w="100" w:type="dxa"/>
              <w:left w:w="100" w:type="dxa"/>
              <w:bottom w:w="100" w:type="dxa"/>
              <w:right w:w="100" w:type="dxa"/>
            </w:tcMar>
          </w:tcPr>
          <w:p w14:paraId="5446F515" w14:textId="77777777" w:rsidR="00FC2E0E" w:rsidRPr="00DB2089" w:rsidRDefault="00FC2E0E" w:rsidP="00FC2E0E">
            <w:pPr>
              <w:pStyle w:val="Heading3"/>
              <w:keepLines w:val="0"/>
              <w:numPr>
                <w:ilvl w:val="0"/>
                <w:numId w:val="27"/>
              </w:numPr>
              <w:spacing w:before="0" w:after="60" w:line="240" w:lineRule="auto"/>
              <w:rPr>
                <w:rFonts w:ascii="Calibri" w:hAnsi="Calibri" w:cs="Calibri"/>
                <w:color w:val="000000"/>
                <w:sz w:val="22"/>
                <w:szCs w:val="22"/>
              </w:rPr>
            </w:pPr>
            <w:r w:rsidRPr="00DB2089">
              <w:rPr>
                <w:rFonts w:ascii="Calibri" w:hAnsi="Calibri" w:cs="Calibri"/>
                <w:color w:val="000000"/>
                <w:sz w:val="22"/>
                <w:szCs w:val="22"/>
              </w:rPr>
              <w:lastRenderedPageBreak/>
              <w:t>Critical assessment of messages</w:t>
            </w:r>
          </w:p>
          <w:p w14:paraId="41350903" w14:textId="77777777" w:rsidR="00FC2E0E" w:rsidRPr="00DB2089" w:rsidRDefault="00FC2E0E" w:rsidP="00FC2E0E">
            <w:pPr>
              <w:pStyle w:val="Heading3"/>
              <w:ind w:firstLine="360"/>
              <w:rPr>
                <w:rFonts w:ascii="Calibri" w:hAnsi="Calibri" w:cs="Calibri"/>
                <w:b/>
                <w:bCs/>
                <w:i/>
                <w:iCs/>
                <w:color w:val="000000"/>
                <w:sz w:val="22"/>
                <w:szCs w:val="22"/>
              </w:rPr>
            </w:pPr>
            <w:r w:rsidRPr="00DB2089">
              <w:rPr>
                <w:rFonts w:ascii="Calibri" w:hAnsi="Calibri" w:cs="Calibri"/>
                <w:i/>
                <w:iCs/>
                <w:color w:val="000000"/>
                <w:sz w:val="22"/>
                <w:szCs w:val="22"/>
              </w:rPr>
              <w:t xml:space="preserve">Students critically and constructively evaluate their own and others’ speeches. </w:t>
            </w:r>
          </w:p>
          <w:p w14:paraId="2AA77E86" w14:textId="77777777" w:rsidR="00FC2E0E" w:rsidRPr="00F40DEF" w:rsidRDefault="00FC2E0E" w:rsidP="00FC2E0E">
            <w:pPr>
              <w:rPr>
                <w:sz w:val="4"/>
                <w:szCs w:val="4"/>
              </w:rPr>
            </w:pPr>
          </w:p>
          <w:p w14:paraId="76ADAAA0" w14:textId="77777777" w:rsidR="00FC2E0E" w:rsidRPr="00DB2089" w:rsidRDefault="00FC2E0E" w:rsidP="00FC2E0E">
            <w:pPr>
              <w:ind w:left="360"/>
              <w:rPr>
                <w:rFonts w:cs="Calibri"/>
                <w:i/>
                <w:iCs/>
                <w:color w:val="000000"/>
              </w:rPr>
            </w:pPr>
            <w:r w:rsidRPr="00DB2089">
              <w:rPr>
                <w:rFonts w:cs="Calibri"/>
                <w:b/>
                <w:bCs/>
                <w:color w:val="000000"/>
              </w:rPr>
              <w:t>By the end of their public speaking class, students should be able to critically and constructively evaluate their own speeches, as well as the speeches of classmates and professionals</w:t>
            </w:r>
            <w:r w:rsidRPr="00DB2089">
              <w:rPr>
                <w:rFonts w:cs="Calibri"/>
                <w:color w:val="000000"/>
              </w:rPr>
              <w:t>.</w:t>
            </w:r>
          </w:p>
          <w:p w14:paraId="7F77B50E" w14:textId="77777777" w:rsidR="00FC2E0E" w:rsidRPr="00DB2089" w:rsidRDefault="00FC2E0E" w:rsidP="00FC2E0E">
            <w:pPr>
              <w:pStyle w:val="ListParagraph"/>
              <w:numPr>
                <w:ilvl w:val="0"/>
                <w:numId w:val="29"/>
              </w:numPr>
              <w:spacing w:after="160" w:line="259" w:lineRule="auto"/>
              <w:rPr>
                <w:rFonts w:cs="Calibri"/>
                <w:color w:val="000000"/>
              </w:rPr>
            </w:pPr>
            <w:r w:rsidRPr="00DB2089">
              <w:rPr>
                <w:rFonts w:cs="Calibri"/>
                <w:color w:val="000000"/>
              </w:rPr>
              <w:t>When they are audience members, they should be attentive. Furthermore, they should use active-listening skills to objectively evaluate the speeches of others.</w:t>
            </w:r>
          </w:p>
          <w:p w14:paraId="5C188D1F" w14:textId="2E69E0E2" w:rsidR="00FC2E0E" w:rsidRPr="009A55C6" w:rsidRDefault="00FC2E0E" w:rsidP="00FC2E0E">
            <w:r w:rsidRPr="00DB2089">
              <w:rPr>
                <w:rFonts w:cs="Calibri"/>
                <w:color w:val="000000"/>
              </w:rPr>
              <w:t>When they are collaborating with peers, they should work to improve their own and others’ speeches, balancing the advantages of relying on others with taking responsibility for their own work.</w:t>
            </w:r>
          </w:p>
        </w:tc>
        <w:tc>
          <w:tcPr>
            <w:tcW w:w="2433" w:type="dxa"/>
            <w:tcBorders>
              <w:right w:val="single" w:sz="8" w:space="0" w:color="000000"/>
            </w:tcBorders>
            <w:tcMar>
              <w:top w:w="100" w:type="dxa"/>
              <w:left w:w="100" w:type="dxa"/>
              <w:bottom w:w="100" w:type="dxa"/>
              <w:right w:w="100" w:type="dxa"/>
            </w:tcMar>
          </w:tcPr>
          <w:p w14:paraId="34EAD1E1" w14:textId="77777777" w:rsidR="00FC2E0E" w:rsidRDefault="00FC2E0E" w:rsidP="00FC2E0E">
            <w:r>
              <w:t xml:space="preserve"> </w:t>
            </w:r>
          </w:p>
        </w:tc>
        <w:tc>
          <w:tcPr>
            <w:tcW w:w="2433" w:type="dxa"/>
            <w:tcBorders>
              <w:right w:val="single" w:sz="8" w:space="0" w:color="000000"/>
            </w:tcBorders>
            <w:tcMar>
              <w:top w:w="100" w:type="dxa"/>
              <w:left w:w="100" w:type="dxa"/>
              <w:bottom w:w="100" w:type="dxa"/>
              <w:right w:w="100" w:type="dxa"/>
            </w:tcMar>
          </w:tcPr>
          <w:p w14:paraId="2F8262A1" w14:textId="77777777" w:rsidR="00FC2E0E" w:rsidRDefault="00FC2E0E" w:rsidP="00FC2E0E">
            <w:r>
              <w:t xml:space="preserve"> </w:t>
            </w:r>
          </w:p>
        </w:tc>
        <w:tc>
          <w:tcPr>
            <w:tcW w:w="2433" w:type="dxa"/>
            <w:tcBorders>
              <w:right w:val="single" w:sz="8" w:space="0" w:color="000000"/>
            </w:tcBorders>
            <w:tcMar>
              <w:top w:w="100" w:type="dxa"/>
              <w:left w:w="100" w:type="dxa"/>
              <w:bottom w:w="100" w:type="dxa"/>
              <w:right w:w="100" w:type="dxa"/>
            </w:tcMar>
          </w:tcPr>
          <w:p w14:paraId="380E95AD" w14:textId="77777777" w:rsidR="00FC2E0E" w:rsidRDefault="00FC2E0E" w:rsidP="00FC2E0E">
            <w:r>
              <w:t xml:space="preserve"> </w:t>
            </w:r>
          </w:p>
        </w:tc>
      </w:tr>
    </w:tbl>
    <w:p w14:paraId="7019159C" w14:textId="77777777" w:rsidR="00785F44" w:rsidRDefault="00785F44"/>
    <w:p w14:paraId="0D5F0241" w14:textId="77777777" w:rsidR="00785F44" w:rsidRDefault="00000000">
      <w:pPr>
        <w:spacing w:after="200"/>
      </w:pPr>
      <w:r>
        <w:t xml:space="preserve"> </w:t>
      </w:r>
    </w:p>
    <w:tbl>
      <w:tblPr>
        <w:tblStyle w:val="a0"/>
        <w:tblW w:w="13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0"/>
        <w:gridCol w:w="7410"/>
      </w:tblGrid>
      <w:tr w:rsidR="00785F44" w14:paraId="46A7E856" w14:textId="77777777">
        <w:trPr>
          <w:trHeight w:val="1890"/>
        </w:trPr>
        <w:tc>
          <w:tcPr>
            <w:tcW w:w="6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84FC3" w14:textId="56A8BD23" w:rsidR="008E4E7F" w:rsidRPr="008E4E7F" w:rsidRDefault="00000000" w:rsidP="008E4E7F">
            <w:pPr>
              <w:jc w:val="center"/>
              <w:rPr>
                <w:b/>
              </w:rPr>
            </w:pPr>
            <w:r>
              <w:rPr>
                <w:b/>
              </w:rPr>
              <w:t>Acknowledgement</w:t>
            </w:r>
          </w:p>
          <w:p w14:paraId="23299120" w14:textId="77777777" w:rsidR="00751F50" w:rsidRDefault="00751F50" w:rsidP="00751F50">
            <w:pPr>
              <w:spacing w:before="240"/>
            </w:pPr>
            <w:r>
              <w:t xml:space="preserve">The Ohio Transfer 36 requires at least 3 semester hours of course credit in English Composition/Oral Communication. </w:t>
            </w:r>
          </w:p>
          <w:p w14:paraId="02451C92" w14:textId="77777777" w:rsidR="00751F50" w:rsidRPr="00751F50" w:rsidRDefault="00751F50" w:rsidP="00751F50">
            <w:pPr>
              <w:pStyle w:val="ListParagraph"/>
              <w:numPr>
                <w:ilvl w:val="0"/>
                <w:numId w:val="29"/>
              </w:numPr>
              <w:spacing w:before="240"/>
              <w:rPr>
                <w:color w:val="333333"/>
              </w:rPr>
            </w:pPr>
            <w:r>
              <w:t xml:space="preserve">Courses in oral communication are an option for elective courses within the Ohio Transfer 36. If a student completes a course in oral communication but does not complete the entire Ohio Transfer 36, the course may only apply as an elective upon transfer because not all institutions have this requirement. </w:t>
            </w:r>
          </w:p>
          <w:p w14:paraId="4F0390D1" w14:textId="77777777" w:rsidR="00751F50" w:rsidRPr="00751F50" w:rsidRDefault="00751F50" w:rsidP="00751F50">
            <w:pPr>
              <w:pStyle w:val="ListParagraph"/>
              <w:numPr>
                <w:ilvl w:val="0"/>
                <w:numId w:val="29"/>
              </w:numPr>
              <w:spacing w:before="240"/>
              <w:rPr>
                <w:color w:val="333333"/>
              </w:rPr>
            </w:pPr>
            <w:r>
              <w:lastRenderedPageBreak/>
              <w:t xml:space="preserve">Courses in oral communication are in addition to First and/or Second Writing and may not replace or substitute for composition courses. </w:t>
            </w:r>
          </w:p>
          <w:p w14:paraId="274A4EC5" w14:textId="77777777" w:rsidR="00BB139C" w:rsidRPr="00BB139C" w:rsidRDefault="00751F50" w:rsidP="00751F50">
            <w:pPr>
              <w:pStyle w:val="ListParagraph"/>
              <w:numPr>
                <w:ilvl w:val="0"/>
                <w:numId w:val="29"/>
              </w:numPr>
              <w:spacing w:before="240"/>
              <w:rPr>
                <w:color w:val="333333"/>
              </w:rPr>
            </w:pPr>
            <w:r>
              <w:t xml:space="preserve">The major emphasis of the oral communication course must be extemporaneous public speaking (individual/group work) as reflected in statements of course learning outcomes and evaluation. The course(s) may include group presentations and argumentation. Typically, hybrid courses in oral communication include examination of communication theory but should concentrate on evaluated oral presentations as the primary focus of the course. </w:t>
            </w:r>
          </w:p>
          <w:p w14:paraId="260A5C2F" w14:textId="77777777" w:rsidR="00BB139C" w:rsidRPr="00BB139C" w:rsidRDefault="00751F50" w:rsidP="00751F50">
            <w:pPr>
              <w:pStyle w:val="ListParagraph"/>
              <w:numPr>
                <w:ilvl w:val="0"/>
                <w:numId w:val="29"/>
              </w:numPr>
              <w:spacing w:before="240"/>
              <w:rPr>
                <w:color w:val="333333"/>
              </w:rPr>
            </w:pPr>
            <w:r>
              <w:t xml:space="preserve">Courses that include communication principles leading up to the study or understanding of the oral communication process in other forms (e.g., interviewing, interpersonal, dyads, listening) are not precluded if they meet the criterion for emphasis on extemporaneous speaking. </w:t>
            </w:r>
          </w:p>
          <w:p w14:paraId="430CA83D" w14:textId="77777777" w:rsidR="00BB139C" w:rsidRPr="00BB139C" w:rsidRDefault="00751F50" w:rsidP="00BB139C">
            <w:pPr>
              <w:spacing w:before="240"/>
              <w:rPr>
                <w:b/>
                <w:bCs/>
                <w:u w:val="single"/>
              </w:rPr>
            </w:pPr>
            <w:r w:rsidRPr="00BB139C">
              <w:rPr>
                <w:b/>
                <w:bCs/>
                <w:u w:val="single"/>
              </w:rPr>
              <w:t xml:space="preserve">Excluded courses: </w:t>
            </w:r>
          </w:p>
          <w:p w14:paraId="53816F30" w14:textId="77777777" w:rsidR="00BB139C" w:rsidRPr="00BB139C" w:rsidRDefault="00751F50" w:rsidP="00BB139C">
            <w:pPr>
              <w:pStyle w:val="ListParagraph"/>
              <w:numPr>
                <w:ilvl w:val="0"/>
                <w:numId w:val="30"/>
              </w:numPr>
              <w:spacing w:before="240"/>
              <w:rPr>
                <w:color w:val="333333"/>
              </w:rPr>
            </w:pPr>
            <w:r>
              <w:t xml:space="preserve">Remedial or developmental courses, special topics courses, narrowly focused courses, technical or pre-technical courses and skills-based courses. </w:t>
            </w:r>
          </w:p>
          <w:p w14:paraId="70EF64F5" w14:textId="77777777" w:rsidR="00BB139C" w:rsidRPr="00BB139C" w:rsidRDefault="00751F50" w:rsidP="00BB139C">
            <w:pPr>
              <w:pStyle w:val="ListParagraph"/>
              <w:numPr>
                <w:ilvl w:val="0"/>
                <w:numId w:val="30"/>
              </w:numPr>
              <w:spacing w:before="240"/>
              <w:rPr>
                <w:color w:val="333333"/>
              </w:rPr>
            </w:pPr>
            <w:r>
              <w:t xml:space="preserve">Courses that focus exclusively on content coverage without addressing the learning outcomes for the Ohio Transfer 36. </w:t>
            </w:r>
          </w:p>
          <w:p w14:paraId="23D87919" w14:textId="77777777" w:rsidR="00BB139C" w:rsidRPr="00BB139C" w:rsidRDefault="00751F50" w:rsidP="00BB139C">
            <w:pPr>
              <w:pStyle w:val="ListParagraph"/>
              <w:numPr>
                <w:ilvl w:val="0"/>
                <w:numId w:val="30"/>
              </w:numPr>
              <w:spacing w:before="240"/>
              <w:rPr>
                <w:color w:val="333333"/>
              </w:rPr>
            </w:pPr>
            <w:r>
              <w:t xml:space="preserve">Career preparation courses, non-credit continuing education courses, and life experience courses (unless life experience credit, such as military training </w:t>
            </w:r>
            <w:r>
              <w:lastRenderedPageBreak/>
              <w:t xml:space="preserve">or other prior learning experience, becomes approved in the future for an Ohio Transfer 36 credit by the statewide faculty review panel). </w:t>
            </w:r>
          </w:p>
          <w:p w14:paraId="694F8F4F" w14:textId="5A810CE4" w:rsidR="00785F44" w:rsidRPr="00BB139C" w:rsidRDefault="00751F50" w:rsidP="00BB139C">
            <w:pPr>
              <w:pStyle w:val="ListParagraph"/>
              <w:numPr>
                <w:ilvl w:val="0"/>
                <w:numId w:val="30"/>
              </w:numPr>
              <w:spacing w:before="240"/>
              <w:rPr>
                <w:color w:val="333333"/>
              </w:rPr>
            </w:pPr>
            <w:r>
              <w:t>Courses in which the main focus is theory, the study of communication styles, or oral interpretation and performance (i.e., students should research and prepare their own oral presentations, not give a recitation of existing work).</w:t>
            </w:r>
          </w:p>
        </w:tc>
        <w:tc>
          <w:tcPr>
            <w:tcW w:w="7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39C52F" w14:textId="0D4AA3CF" w:rsidR="00785F44" w:rsidRPr="0067223D" w:rsidRDefault="00000000" w:rsidP="0067223D">
            <w:pPr>
              <w:pStyle w:val="ListParagraph"/>
              <w:numPr>
                <w:ilvl w:val="3"/>
                <w:numId w:val="4"/>
              </w:numPr>
              <w:spacing w:before="240" w:after="240"/>
              <w:rPr>
                <w:b/>
                <w:color w:val="333333"/>
              </w:rPr>
            </w:pPr>
            <w:r w:rsidRPr="0067223D">
              <w:rPr>
                <w:b/>
                <w:color w:val="333333"/>
              </w:rPr>
              <w:lastRenderedPageBreak/>
              <w:t xml:space="preserve">Please acknowledge that you have read the guidelines for types of courses approved for and excluded from the </w:t>
            </w:r>
            <w:r w:rsidR="00C72ABD">
              <w:rPr>
                <w:b/>
                <w:color w:val="333333"/>
              </w:rPr>
              <w:t>Oral Communication</w:t>
            </w:r>
            <w:r w:rsidRPr="0067223D">
              <w:rPr>
                <w:b/>
                <w:color w:val="333333"/>
              </w:rPr>
              <w:t xml:space="preserve"> category of Ohio Transfer 36. </w:t>
            </w:r>
          </w:p>
          <w:p w14:paraId="5204CF41" w14:textId="5A6BE82E" w:rsidR="0067223D" w:rsidRPr="0067223D" w:rsidRDefault="0067223D" w:rsidP="0067223D">
            <w:pPr>
              <w:pStyle w:val="NormalWeb"/>
              <w:numPr>
                <w:ilvl w:val="3"/>
                <w:numId w:val="4"/>
              </w:numPr>
              <w:spacing w:before="0" w:beforeAutospacing="0" w:after="160" w:afterAutospacing="0"/>
              <w:rPr>
                <w:rFonts w:ascii="Arial" w:hAnsi="Arial" w:cs="Arial"/>
                <w:b/>
                <w:sz w:val="22"/>
                <w:szCs w:val="22"/>
              </w:rPr>
            </w:pPr>
            <w:r w:rsidRPr="0067223D">
              <w:rPr>
                <w:rFonts w:ascii="Arial" w:hAnsi="Arial" w:cs="Arial"/>
                <w:b/>
                <w:sz w:val="22"/>
                <w:szCs w:val="22"/>
              </w:rPr>
              <w:t xml:space="preserve">In addition, please acknowledge that the faculty member(s) and/or Ohio Transfer 36 Coordinator(s) preparing this submission have reviewed the </w:t>
            </w:r>
            <w:r w:rsidRPr="0067223D">
              <w:rPr>
                <w:rFonts w:ascii="Arial" w:hAnsi="Arial" w:cs="Arial"/>
                <w:b/>
                <w:color w:val="000000"/>
                <w:sz w:val="22"/>
                <w:szCs w:val="22"/>
              </w:rPr>
              <w:t xml:space="preserve">Ohio Transfer 36 Guidance Document for the discipline area of </w:t>
            </w:r>
            <w:r w:rsidR="00C72ABD">
              <w:rPr>
                <w:rFonts w:ascii="Arial" w:hAnsi="Arial" w:cs="Arial"/>
                <w:b/>
                <w:color w:val="000000"/>
                <w:sz w:val="22"/>
                <w:szCs w:val="22"/>
              </w:rPr>
              <w:t>Oral Communication</w:t>
            </w:r>
            <w:r w:rsidRPr="0067223D">
              <w:rPr>
                <w:rFonts w:ascii="Arial" w:hAnsi="Arial" w:cs="Arial"/>
                <w:b/>
                <w:sz w:val="22"/>
                <w:szCs w:val="22"/>
              </w:rPr>
              <w:t xml:space="preserve"> and adhered to outlined guidance prior to course submission. </w:t>
            </w:r>
          </w:p>
          <w:p w14:paraId="3C488F22" w14:textId="77777777" w:rsidR="00785F44" w:rsidRPr="0067223D" w:rsidRDefault="00785F44">
            <w:pPr>
              <w:spacing w:before="240" w:after="240"/>
              <w:rPr>
                <w:b/>
                <w:color w:val="333333"/>
              </w:rPr>
            </w:pPr>
          </w:p>
        </w:tc>
      </w:tr>
    </w:tbl>
    <w:p w14:paraId="2C301971" w14:textId="3E05C19D" w:rsidR="00785F44" w:rsidRDefault="00000000" w:rsidP="00210E77">
      <w:pPr>
        <w:spacing w:after="200"/>
      </w:pPr>
      <w:r>
        <w:lastRenderedPageBreak/>
        <w:t xml:space="preserve"> </w:t>
      </w:r>
    </w:p>
    <w:sectPr w:rsidR="00785F44">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AE1"/>
    <w:multiLevelType w:val="hybridMultilevel"/>
    <w:tmpl w:val="96A49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5184F"/>
    <w:multiLevelType w:val="multilevel"/>
    <w:tmpl w:val="90A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D2759"/>
    <w:multiLevelType w:val="multilevel"/>
    <w:tmpl w:val="CBECABBE"/>
    <w:lvl w:ilvl="0">
      <w:start w:val="1"/>
      <w:numFmt w:val="bullet"/>
      <w:lvlText w:val=""/>
      <w:lvlJc w:val="left"/>
      <w:pPr>
        <w:ind w:left="1170" w:hanging="360"/>
      </w:pPr>
      <w:rPr>
        <w:rFonts w:ascii="Symbol" w:hAnsi="Symbol" w:hint="default"/>
        <w:strike w:val="0"/>
        <w:dstrike w:val="0"/>
        <w:u w:val="none"/>
        <w:effect w:val="none"/>
      </w:rPr>
    </w:lvl>
    <w:lvl w:ilvl="1">
      <w:start w:val="1"/>
      <w:numFmt w:val="bullet"/>
      <w:lvlText w:val="○"/>
      <w:lvlJc w:val="left"/>
      <w:pPr>
        <w:ind w:left="1890" w:hanging="360"/>
      </w:pPr>
      <w:rPr>
        <w:strike w:val="0"/>
        <w:dstrike w:val="0"/>
        <w:u w:val="none"/>
        <w:effect w:val="none"/>
      </w:rPr>
    </w:lvl>
    <w:lvl w:ilvl="2">
      <w:start w:val="1"/>
      <w:numFmt w:val="bullet"/>
      <w:lvlText w:val="■"/>
      <w:lvlJc w:val="left"/>
      <w:pPr>
        <w:ind w:left="2610" w:hanging="360"/>
      </w:pPr>
      <w:rPr>
        <w:strike w:val="0"/>
        <w:dstrike w:val="0"/>
        <w:u w:val="none"/>
        <w:effect w:val="none"/>
      </w:rPr>
    </w:lvl>
    <w:lvl w:ilvl="3">
      <w:start w:val="1"/>
      <w:numFmt w:val="bullet"/>
      <w:lvlText w:val="●"/>
      <w:lvlJc w:val="left"/>
      <w:pPr>
        <w:ind w:left="3330" w:hanging="360"/>
      </w:pPr>
      <w:rPr>
        <w:strike w:val="0"/>
        <w:dstrike w:val="0"/>
        <w:u w:val="none"/>
        <w:effect w:val="none"/>
      </w:rPr>
    </w:lvl>
    <w:lvl w:ilvl="4">
      <w:start w:val="1"/>
      <w:numFmt w:val="bullet"/>
      <w:lvlText w:val="○"/>
      <w:lvlJc w:val="left"/>
      <w:pPr>
        <w:ind w:left="4050" w:hanging="360"/>
      </w:pPr>
      <w:rPr>
        <w:strike w:val="0"/>
        <w:dstrike w:val="0"/>
        <w:u w:val="none"/>
        <w:effect w:val="none"/>
      </w:rPr>
    </w:lvl>
    <w:lvl w:ilvl="5">
      <w:start w:val="1"/>
      <w:numFmt w:val="bullet"/>
      <w:lvlText w:val="■"/>
      <w:lvlJc w:val="left"/>
      <w:pPr>
        <w:ind w:left="4770" w:hanging="360"/>
      </w:pPr>
      <w:rPr>
        <w:strike w:val="0"/>
        <w:dstrike w:val="0"/>
        <w:u w:val="none"/>
        <w:effect w:val="none"/>
      </w:rPr>
    </w:lvl>
    <w:lvl w:ilvl="6">
      <w:start w:val="1"/>
      <w:numFmt w:val="bullet"/>
      <w:lvlText w:val="●"/>
      <w:lvlJc w:val="left"/>
      <w:pPr>
        <w:ind w:left="5490" w:hanging="360"/>
      </w:pPr>
      <w:rPr>
        <w:strike w:val="0"/>
        <w:dstrike w:val="0"/>
        <w:u w:val="none"/>
        <w:effect w:val="none"/>
      </w:rPr>
    </w:lvl>
    <w:lvl w:ilvl="7">
      <w:start w:val="1"/>
      <w:numFmt w:val="bullet"/>
      <w:lvlText w:val="○"/>
      <w:lvlJc w:val="left"/>
      <w:pPr>
        <w:ind w:left="6210" w:hanging="360"/>
      </w:pPr>
      <w:rPr>
        <w:strike w:val="0"/>
        <w:dstrike w:val="0"/>
        <w:u w:val="none"/>
        <w:effect w:val="none"/>
      </w:rPr>
    </w:lvl>
    <w:lvl w:ilvl="8">
      <w:start w:val="1"/>
      <w:numFmt w:val="bullet"/>
      <w:lvlText w:val="■"/>
      <w:lvlJc w:val="left"/>
      <w:pPr>
        <w:ind w:left="6930" w:hanging="360"/>
      </w:pPr>
      <w:rPr>
        <w:strike w:val="0"/>
        <w:dstrike w:val="0"/>
        <w:u w:val="none"/>
        <w:effect w:val="none"/>
      </w:rPr>
    </w:lvl>
  </w:abstractNum>
  <w:abstractNum w:abstractNumId="3" w15:restartNumberingAfterBreak="0">
    <w:nsid w:val="10BE7478"/>
    <w:multiLevelType w:val="multilevel"/>
    <w:tmpl w:val="E1AE6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0F95A0A"/>
    <w:multiLevelType w:val="hybridMultilevel"/>
    <w:tmpl w:val="0C3CC2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37774D7"/>
    <w:multiLevelType w:val="multilevel"/>
    <w:tmpl w:val="AFD4E850"/>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89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5FA5465"/>
    <w:multiLevelType w:val="multilevel"/>
    <w:tmpl w:val="10001F20"/>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76B2828"/>
    <w:multiLevelType w:val="multilevel"/>
    <w:tmpl w:val="859E6EE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10047A6"/>
    <w:multiLevelType w:val="multilevel"/>
    <w:tmpl w:val="D1CAC3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45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41A2108"/>
    <w:multiLevelType w:val="hybridMultilevel"/>
    <w:tmpl w:val="C1102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3D4ABD"/>
    <w:multiLevelType w:val="hybridMultilevel"/>
    <w:tmpl w:val="121E5972"/>
    <w:lvl w:ilvl="0" w:tplc="0409000F">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B03D5"/>
    <w:multiLevelType w:val="hybridMultilevel"/>
    <w:tmpl w:val="51B4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2146B"/>
    <w:multiLevelType w:val="hybridMultilevel"/>
    <w:tmpl w:val="1B0636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9245271"/>
    <w:multiLevelType w:val="hybridMultilevel"/>
    <w:tmpl w:val="DD0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25799"/>
    <w:multiLevelType w:val="multilevel"/>
    <w:tmpl w:val="D70C7E0C"/>
    <w:lvl w:ilvl="0">
      <w:start w:val="1"/>
      <w:numFmt w:val="bullet"/>
      <w:lvlText w:val=""/>
      <w:lvlJc w:val="left"/>
      <w:pPr>
        <w:ind w:left="1260" w:hanging="360"/>
      </w:pPr>
      <w:rPr>
        <w:rFonts w:ascii="Symbol" w:hAnsi="Symbol" w:hint="default"/>
        <w:strike w:val="0"/>
        <w:dstrike w:val="0"/>
        <w:u w:val="none"/>
        <w:effect w:val="none"/>
      </w:rPr>
    </w:lvl>
    <w:lvl w:ilvl="1">
      <w:start w:val="1"/>
      <w:numFmt w:val="bullet"/>
      <w:lvlText w:val="○"/>
      <w:lvlJc w:val="left"/>
      <w:pPr>
        <w:ind w:left="1980" w:hanging="360"/>
      </w:pPr>
      <w:rPr>
        <w:strike w:val="0"/>
        <w:dstrike w:val="0"/>
        <w:u w:val="none"/>
        <w:effect w:val="none"/>
      </w:rPr>
    </w:lvl>
    <w:lvl w:ilvl="2">
      <w:start w:val="1"/>
      <w:numFmt w:val="bullet"/>
      <w:lvlText w:val="■"/>
      <w:lvlJc w:val="left"/>
      <w:pPr>
        <w:ind w:left="2700" w:hanging="360"/>
      </w:pPr>
      <w:rPr>
        <w:strike w:val="0"/>
        <w:dstrike w:val="0"/>
        <w:u w:val="none"/>
        <w:effect w:val="none"/>
      </w:rPr>
    </w:lvl>
    <w:lvl w:ilvl="3">
      <w:start w:val="1"/>
      <w:numFmt w:val="bullet"/>
      <w:lvlText w:val="●"/>
      <w:lvlJc w:val="left"/>
      <w:pPr>
        <w:ind w:left="3420" w:hanging="360"/>
      </w:pPr>
      <w:rPr>
        <w:strike w:val="0"/>
        <w:dstrike w:val="0"/>
        <w:u w:val="none"/>
        <w:effect w:val="none"/>
      </w:rPr>
    </w:lvl>
    <w:lvl w:ilvl="4">
      <w:start w:val="1"/>
      <w:numFmt w:val="bullet"/>
      <w:lvlText w:val="○"/>
      <w:lvlJc w:val="left"/>
      <w:pPr>
        <w:ind w:left="4140" w:hanging="360"/>
      </w:pPr>
      <w:rPr>
        <w:strike w:val="0"/>
        <w:dstrike w:val="0"/>
        <w:u w:val="none"/>
        <w:effect w:val="none"/>
      </w:rPr>
    </w:lvl>
    <w:lvl w:ilvl="5">
      <w:start w:val="1"/>
      <w:numFmt w:val="bullet"/>
      <w:lvlText w:val="■"/>
      <w:lvlJc w:val="left"/>
      <w:pPr>
        <w:ind w:left="4860" w:hanging="360"/>
      </w:pPr>
      <w:rPr>
        <w:strike w:val="0"/>
        <w:dstrike w:val="0"/>
        <w:u w:val="none"/>
        <w:effect w:val="none"/>
      </w:rPr>
    </w:lvl>
    <w:lvl w:ilvl="6">
      <w:start w:val="1"/>
      <w:numFmt w:val="bullet"/>
      <w:lvlText w:val="●"/>
      <w:lvlJc w:val="left"/>
      <w:pPr>
        <w:ind w:left="5580" w:hanging="360"/>
      </w:pPr>
      <w:rPr>
        <w:strike w:val="0"/>
        <w:dstrike w:val="0"/>
        <w:u w:val="none"/>
        <w:effect w:val="none"/>
      </w:rPr>
    </w:lvl>
    <w:lvl w:ilvl="7">
      <w:start w:val="1"/>
      <w:numFmt w:val="bullet"/>
      <w:lvlText w:val="○"/>
      <w:lvlJc w:val="left"/>
      <w:pPr>
        <w:ind w:left="6300" w:hanging="360"/>
      </w:pPr>
      <w:rPr>
        <w:strike w:val="0"/>
        <w:dstrike w:val="0"/>
        <w:u w:val="none"/>
        <w:effect w:val="none"/>
      </w:rPr>
    </w:lvl>
    <w:lvl w:ilvl="8">
      <w:start w:val="1"/>
      <w:numFmt w:val="bullet"/>
      <w:lvlText w:val="■"/>
      <w:lvlJc w:val="left"/>
      <w:pPr>
        <w:ind w:left="7020" w:hanging="360"/>
      </w:pPr>
      <w:rPr>
        <w:strike w:val="0"/>
        <w:dstrike w:val="0"/>
        <w:u w:val="none"/>
        <w:effect w:val="none"/>
      </w:rPr>
    </w:lvl>
  </w:abstractNum>
  <w:abstractNum w:abstractNumId="15" w15:restartNumberingAfterBreak="0">
    <w:nsid w:val="403F6508"/>
    <w:multiLevelType w:val="multilevel"/>
    <w:tmpl w:val="1340CBE0"/>
    <w:lvl w:ilvl="0">
      <w:start w:val="1"/>
      <w:numFmt w:val="bullet"/>
      <w:lvlText w:val=""/>
      <w:lvlJc w:val="left"/>
      <w:pPr>
        <w:ind w:left="1170" w:hanging="360"/>
      </w:pPr>
      <w:rPr>
        <w:rFonts w:ascii="Symbol" w:hAnsi="Symbol" w:hint="default"/>
        <w:strike w:val="0"/>
        <w:dstrike w:val="0"/>
        <w:u w:val="none"/>
        <w:effect w:val="none"/>
      </w:rPr>
    </w:lvl>
    <w:lvl w:ilvl="1">
      <w:start w:val="1"/>
      <w:numFmt w:val="bullet"/>
      <w:lvlText w:val="○"/>
      <w:lvlJc w:val="left"/>
      <w:pPr>
        <w:ind w:left="1890" w:hanging="360"/>
      </w:pPr>
      <w:rPr>
        <w:strike w:val="0"/>
        <w:dstrike w:val="0"/>
        <w:u w:val="none"/>
        <w:effect w:val="none"/>
      </w:rPr>
    </w:lvl>
    <w:lvl w:ilvl="2">
      <w:start w:val="1"/>
      <w:numFmt w:val="bullet"/>
      <w:lvlText w:val="■"/>
      <w:lvlJc w:val="left"/>
      <w:pPr>
        <w:ind w:left="2610" w:hanging="360"/>
      </w:pPr>
      <w:rPr>
        <w:strike w:val="0"/>
        <w:dstrike w:val="0"/>
        <w:u w:val="none"/>
        <w:effect w:val="none"/>
      </w:rPr>
    </w:lvl>
    <w:lvl w:ilvl="3">
      <w:start w:val="1"/>
      <w:numFmt w:val="bullet"/>
      <w:lvlText w:val="●"/>
      <w:lvlJc w:val="left"/>
      <w:pPr>
        <w:ind w:left="3330" w:hanging="360"/>
      </w:pPr>
      <w:rPr>
        <w:strike w:val="0"/>
        <w:dstrike w:val="0"/>
        <w:u w:val="none"/>
        <w:effect w:val="none"/>
      </w:rPr>
    </w:lvl>
    <w:lvl w:ilvl="4">
      <w:start w:val="1"/>
      <w:numFmt w:val="bullet"/>
      <w:lvlText w:val="○"/>
      <w:lvlJc w:val="left"/>
      <w:pPr>
        <w:ind w:left="4050" w:hanging="360"/>
      </w:pPr>
      <w:rPr>
        <w:strike w:val="0"/>
        <w:dstrike w:val="0"/>
        <w:u w:val="none"/>
        <w:effect w:val="none"/>
      </w:rPr>
    </w:lvl>
    <w:lvl w:ilvl="5">
      <w:start w:val="1"/>
      <w:numFmt w:val="bullet"/>
      <w:lvlText w:val="■"/>
      <w:lvlJc w:val="left"/>
      <w:pPr>
        <w:ind w:left="4770" w:hanging="360"/>
      </w:pPr>
      <w:rPr>
        <w:strike w:val="0"/>
        <w:dstrike w:val="0"/>
        <w:u w:val="none"/>
        <w:effect w:val="none"/>
      </w:rPr>
    </w:lvl>
    <w:lvl w:ilvl="6">
      <w:start w:val="1"/>
      <w:numFmt w:val="bullet"/>
      <w:lvlText w:val="●"/>
      <w:lvlJc w:val="left"/>
      <w:pPr>
        <w:ind w:left="5490" w:hanging="360"/>
      </w:pPr>
      <w:rPr>
        <w:strike w:val="0"/>
        <w:dstrike w:val="0"/>
        <w:u w:val="none"/>
        <w:effect w:val="none"/>
      </w:rPr>
    </w:lvl>
    <w:lvl w:ilvl="7">
      <w:start w:val="1"/>
      <w:numFmt w:val="bullet"/>
      <w:lvlText w:val="○"/>
      <w:lvlJc w:val="left"/>
      <w:pPr>
        <w:ind w:left="6210" w:hanging="360"/>
      </w:pPr>
      <w:rPr>
        <w:strike w:val="0"/>
        <w:dstrike w:val="0"/>
        <w:u w:val="none"/>
        <w:effect w:val="none"/>
      </w:rPr>
    </w:lvl>
    <w:lvl w:ilvl="8">
      <w:start w:val="1"/>
      <w:numFmt w:val="bullet"/>
      <w:lvlText w:val="■"/>
      <w:lvlJc w:val="left"/>
      <w:pPr>
        <w:ind w:left="6930" w:hanging="360"/>
      </w:pPr>
      <w:rPr>
        <w:strike w:val="0"/>
        <w:dstrike w:val="0"/>
        <w:u w:val="none"/>
        <w:effect w:val="none"/>
      </w:rPr>
    </w:lvl>
  </w:abstractNum>
  <w:abstractNum w:abstractNumId="16" w15:restartNumberingAfterBreak="0">
    <w:nsid w:val="40DD2132"/>
    <w:multiLevelType w:val="multilevel"/>
    <w:tmpl w:val="4E64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A648B"/>
    <w:multiLevelType w:val="multilevel"/>
    <w:tmpl w:val="D7F21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56278C8"/>
    <w:multiLevelType w:val="multilevel"/>
    <w:tmpl w:val="AE7E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02ED3"/>
    <w:multiLevelType w:val="multilevel"/>
    <w:tmpl w:val="B3CC2BF4"/>
    <w:lvl w:ilvl="0">
      <w:start w:val="1"/>
      <w:numFmt w:val="bullet"/>
      <w:lvlText w:val=""/>
      <w:lvlJc w:val="left"/>
      <w:pPr>
        <w:ind w:left="1350" w:hanging="360"/>
      </w:pPr>
      <w:rPr>
        <w:rFonts w:ascii="Symbol" w:hAnsi="Symbol" w:hint="default"/>
        <w:strike w:val="0"/>
        <w:dstrike w:val="0"/>
        <w:u w:val="none"/>
        <w:effect w:val="none"/>
      </w:rPr>
    </w:lvl>
    <w:lvl w:ilvl="1">
      <w:start w:val="1"/>
      <w:numFmt w:val="bullet"/>
      <w:lvlText w:val="○"/>
      <w:lvlJc w:val="left"/>
      <w:pPr>
        <w:ind w:left="2070" w:hanging="360"/>
      </w:pPr>
      <w:rPr>
        <w:strike w:val="0"/>
        <w:dstrike w:val="0"/>
        <w:u w:val="none"/>
        <w:effect w:val="none"/>
      </w:rPr>
    </w:lvl>
    <w:lvl w:ilvl="2">
      <w:start w:val="1"/>
      <w:numFmt w:val="bullet"/>
      <w:lvlText w:val="■"/>
      <w:lvlJc w:val="left"/>
      <w:pPr>
        <w:ind w:left="2790" w:hanging="360"/>
      </w:pPr>
      <w:rPr>
        <w:strike w:val="0"/>
        <w:dstrike w:val="0"/>
        <w:u w:val="none"/>
        <w:effect w:val="none"/>
      </w:rPr>
    </w:lvl>
    <w:lvl w:ilvl="3">
      <w:start w:val="1"/>
      <w:numFmt w:val="bullet"/>
      <w:lvlText w:val="●"/>
      <w:lvlJc w:val="left"/>
      <w:pPr>
        <w:ind w:left="3510" w:hanging="360"/>
      </w:pPr>
      <w:rPr>
        <w:strike w:val="0"/>
        <w:dstrike w:val="0"/>
        <w:u w:val="none"/>
        <w:effect w:val="none"/>
      </w:rPr>
    </w:lvl>
    <w:lvl w:ilvl="4">
      <w:start w:val="1"/>
      <w:numFmt w:val="bullet"/>
      <w:lvlText w:val="○"/>
      <w:lvlJc w:val="left"/>
      <w:pPr>
        <w:ind w:left="4230" w:hanging="360"/>
      </w:pPr>
      <w:rPr>
        <w:strike w:val="0"/>
        <w:dstrike w:val="0"/>
        <w:u w:val="none"/>
        <w:effect w:val="none"/>
      </w:rPr>
    </w:lvl>
    <w:lvl w:ilvl="5">
      <w:start w:val="1"/>
      <w:numFmt w:val="bullet"/>
      <w:lvlText w:val="■"/>
      <w:lvlJc w:val="left"/>
      <w:pPr>
        <w:ind w:left="4950" w:hanging="360"/>
      </w:pPr>
      <w:rPr>
        <w:strike w:val="0"/>
        <w:dstrike w:val="0"/>
        <w:u w:val="none"/>
        <w:effect w:val="none"/>
      </w:rPr>
    </w:lvl>
    <w:lvl w:ilvl="6">
      <w:start w:val="1"/>
      <w:numFmt w:val="bullet"/>
      <w:lvlText w:val="●"/>
      <w:lvlJc w:val="left"/>
      <w:pPr>
        <w:ind w:left="5670" w:hanging="360"/>
      </w:pPr>
      <w:rPr>
        <w:strike w:val="0"/>
        <w:dstrike w:val="0"/>
        <w:u w:val="none"/>
        <w:effect w:val="none"/>
      </w:rPr>
    </w:lvl>
    <w:lvl w:ilvl="7">
      <w:start w:val="1"/>
      <w:numFmt w:val="bullet"/>
      <w:lvlText w:val="○"/>
      <w:lvlJc w:val="left"/>
      <w:pPr>
        <w:ind w:left="6390" w:hanging="360"/>
      </w:pPr>
      <w:rPr>
        <w:strike w:val="0"/>
        <w:dstrike w:val="0"/>
        <w:u w:val="none"/>
        <w:effect w:val="none"/>
      </w:rPr>
    </w:lvl>
    <w:lvl w:ilvl="8">
      <w:start w:val="1"/>
      <w:numFmt w:val="bullet"/>
      <w:lvlText w:val="■"/>
      <w:lvlJc w:val="left"/>
      <w:pPr>
        <w:ind w:left="7110" w:hanging="360"/>
      </w:pPr>
      <w:rPr>
        <w:strike w:val="0"/>
        <w:dstrike w:val="0"/>
        <w:u w:val="none"/>
        <w:effect w:val="none"/>
      </w:rPr>
    </w:lvl>
  </w:abstractNum>
  <w:abstractNum w:abstractNumId="20" w15:restartNumberingAfterBreak="0">
    <w:nsid w:val="4F5368B7"/>
    <w:multiLevelType w:val="hybridMultilevel"/>
    <w:tmpl w:val="02B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A6252"/>
    <w:multiLevelType w:val="hybridMultilevel"/>
    <w:tmpl w:val="5E2667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A84085"/>
    <w:multiLevelType w:val="multilevel"/>
    <w:tmpl w:val="FCF28D62"/>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2FE1359"/>
    <w:multiLevelType w:val="multilevel"/>
    <w:tmpl w:val="E78EF8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43D005E"/>
    <w:multiLevelType w:val="hybridMultilevel"/>
    <w:tmpl w:val="7836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6219D"/>
    <w:multiLevelType w:val="multilevel"/>
    <w:tmpl w:val="D7D805E2"/>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CED3F99"/>
    <w:multiLevelType w:val="hybridMultilevel"/>
    <w:tmpl w:val="2BBE6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820517"/>
    <w:multiLevelType w:val="hybridMultilevel"/>
    <w:tmpl w:val="DA568DA0"/>
    <w:lvl w:ilvl="0" w:tplc="D48A5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A7798"/>
    <w:multiLevelType w:val="hybridMultilevel"/>
    <w:tmpl w:val="87FA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25A50"/>
    <w:multiLevelType w:val="hybridMultilevel"/>
    <w:tmpl w:val="D2F2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77285">
    <w:abstractNumId w:val="7"/>
  </w:num>
  <w:num w:numId="2" w16cid:durableId="1859998896">
    <w:abstractNumId w:val="23"/>
  </w:num>
  <w:num w:numId="3" w16cid:durableId="700521036">
    <w:abstractNumId w:val="3"/>
  </w:num>
  <w:num w:numId="4" w16cid:durableId="2016035832">
    <w:abstractNumId w:val="8"/>
  </w:num>
  <w:num w:numId="5" w16cid:durableId="312762510">
    <w:abstractNumId w:val="17"/>
  </w:num>
  <w:num w:numId="6" w16cid:durableId="368188730">
    <w:abstractNumId w:val="29"/>
  </w:num>
  <w:num w:numId="7" w16cid:durableId="1953517531">
    <w:abstractNumId w:val="13"/>
  </w:num>
  <w:num w:numId="8" w16cid:durableId="581912202">
    <w:abstractNumId w:val="20"/>
  </w:num>
  <w:num w:numId="9" w16cid:durableId="1784108537">
    <w:abstractNumId w:val="21"/>
  </w:num>
  <w:num w:numId="10" w16cid:durableId="90585054">
    <w:abstractNumId w:val="5"/>
  </w:num>
  <w:num w:numId="11" w16cid:durableId="1983541481">
    <w:abstractNumId w:val="0"/>
  </w:num>
  <w:num w:numId="12" w16cid:durableId="181090631">
    <w:abstractNumId w:val="6"/>
  </w:num>
  <w:num w:numId="13" w16cid:durableId="1286353432">
    <w:abstractNumId w:val="25"/>
  </w:num>
  <w:num w:numId="14" w16cid:durableId="1088890661">
    <w:abstractNumId w:val="22"/>
  </w:num>
  <w:num w:numId="15" w16cid:durableId="1010646622">
    <w:abstractNumId w:val="28"/>
  </w:num>
  <w:num w:numId="16" w16cid:durableId="666634969">
    <w:abstractNumId w:val="24"/>
  </w:num>
  <w:num w:numId="17" w16cid:durableId="1956018094">
    <w:abstractNumId w:val="15"/>
  </w:num>
  <w:num w:numId="18" w16cid:durableId="501047940">
    <w:abstractNumId w:val="10"/>
  </w:num>
  <w:num w:numId="19" w16cid:durableId="210387685">
    <w:abstractNumId w:val="2"/>
  </w:num>
  <w:num w:numId="20" w16cid:durableId="328867463">
    <w:abstractNumId w:val="14"/>
  </w:num>
  <w:num w:numId="21" w16cid:durableId="1205169130">
    <w:abstractNumId w:val="19"/>
  </w:num>
  <w:num w:numId="22" w16cid:durableId="1151557075">
    <w:abstractNumId w:val="26"/>
  </w:num>
  <w:num w:numId="23" w16cid:durableId="782269077">
    <w:abstractNumId w:val="1"/>
  </w:num>
  <w:num w:numId="24" w16cid:durableId="1826239946">
    <w:abstractNumId w:val="16"/>
  </w:num>
  <w:num w:numId="25" w16cid:durableId="1311594823">
    <w:abstractNumId w:val="18"/>
  </w:num>
  <w:num w:numId="26" w16cid:durableId="1747263885">
    <w:abstractNumId w:val="9"/>
  </w:num>
  <w:num w:numId="27" w16cid:durableId="1757432334">
    <w:abstractNumId w:val="27"/>
  </w:num>
  <w:num w:numId="28" w16cid:durableId="707921706">
    <w:abstractNumId w:val="4"/>
  </w:num>
  <w:num w:numId="29" w16cid:durableId="929197322">
    <w:abstractNumId w:val="12"/>
  </w:num>
  <w:num w:numId="30" w16cid:durableId="8415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4"/>
    <w:rsid w:val="001C1611"/>
    <w:rsid w:val="00210E77"/>
    <w:rsid w:val="003756B4"/>
    <w:rsid w:val="003816B1"/>
    <w:rsid w:val="00625267"/>
    <w:rsid w:val="0067223D"/>
    <w:rsid w:val="00751F50"/>
    <w:rsid w:val="00785F44"/>
    <w:rsid w:val="007D734A"/>
    <w:rsid w:val="00841327"/>
    <w:rsid w:val="008A273E"/>
    <w:rsid w:val="008E4E7F"/>
    <w:rsid w:val="009A55C6"/>
    <w:rsid w:val="00AB5602"/>
    <w:rsid w:val="00AE41EB"/>
    <w:rsid w:val="00B52720"/>
    <w:rsid w:val="00B81B05"/>
    <w:rsid w:val="00B87D47"/>
    <w:rsid w:val="00BB139C"/>
    <w:rsid w:val="00BE2395"/>
    <w:rsid w:val="00C72ABD"/>
    <w:rsid w:val="00D55A3F"/>
    <w:rsid w:val="00D621B5"/>
    <w:rsid w:val="00F8338B"/>
    <w:rsid w:val="00FC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832"/>
  <w15:docId w15:val="{298C6E15-F488-4F78-AF97-90A52BC0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72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223D"/>
    <w:pPr>
      <w:ind w:left="720"/>
      <w:contextualSpacing/>
    </w:pPr>
  </w:style>
  <w:style w:type="paragraph" w:styleId="Footer">
    <w:name w:val="footer"/>
    <w:basedOn w:val="Normal"/>
    <w:link w:val="FooterChar"/>
    <w:uiPriority w:val="99"/>
    <w:unhideWhenUsed/>
    <w:rsid w:val="008E4E7F"/>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8E4E7F"/>
    <w:rPr>
      <w:rFonts w:asciiTheme="minorHAnsi" w:eastAsiaTheme="minorHAnsi" w:hAnsiTheme="minorHAnsi" w:cstheme="minorBidi"/>
      <w:lang w:val="en-US"/>
    </w:rPr>
  </w:style>
  <w:style w:type="paragraph" w:customStyle="1" w:styleId="Default">
    <w:name w:val="Default"/>
    <w:rsid w:val="00FC2E0E"/>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customStyle="1" w:styleId="Heading3Char">
    <w:name w:val="Heading 3 Char"/>
    <w:basedOn w:val="DefaultParagraphFont"/>
    <w:link w:val="Heading3"/>
    <w:uiPriority w:val="9"/>
    <w:rsid w:val="00FC2E0E"/>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 Spencer</dc:creator>
  <cp:lastModifiedBy>Jessi, Spencer</cp:lastModifiedBy>
  <cp:revision>6</cp:revision>
  <dcterms:created xsi:type="dcterms:W3CDTF">2022-09-13T17:22:00Z</dcterms:created>
  <dcterms:modified xsi:type="dcterms:W3CDTF">2022-09-13T17:27:00Z</dcterms:modified>
</cp:coreProperties>
</file>