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488B" w14:textId="750B9E67" w:rsidR="00785F44" w:rsidRDefault="00000000">
      <w:pPr>
        <w:rPr>
          <w:b/>
        </w:rPr>
      </w:pPr>
      <w:r>
        <w:rPr>
          <w:b/>
        </w:rPr>
        <w:t xml:space="preserve">Ohio Transfer 36 </w:t>
      </w:r>
      <w:r w:rsidR="003756B4">
        <w:rPr>
          <w:b/>
        </w:rPr>
        <w:t>Second</w:t>
      </w:r>
      <w:r w:rsidR="00841327">
        <w:rPr>
          <w:b/>
        </w:rPr>
        <w:t xml:space="preserve"> Writing</w:t>
      </w:r>
      <w:r>
        <w:rPr>
          <w:b/>
        </w:rPr>
        <w:t xml:space="preserve"> Learning Outcome Template</w:t>
      </w:r>
    </w:p>
    <w:p w14:paraId="020AD772" w14:textId="77777777" w:rsidR="00785F44" w:rsidRDefault="00785F44"/>
    <w:tbl>
      <w:tblPr>
        <w:tblStyle w:val="a"/>
        <w:tblW w:w="14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06"/>
        <w:gridCol w:w="2433"/>
        <w:gridCol w:w="2433"/>
        <w:gridCol w:w="2433"/>
      </w:tblGrid>
      <w:tr w:rsidR="00785F44" w14:paraId="4F92FA2F" w14:textId="77777777" w:rsidTr="009A55C6">
        <w:trPr>
          <w:trHeight w:val="1655"/>
        </w:trPr>
        <w:tc>
          <w:tcPr>
            <w:tcW w:w="67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DA39" w14:textId="77777777" w:rsidR="00785F44" w:rsidRDefault="00785F44">
            <w:pPr>
              <w:jc w:val="center"/>
              <w:rPr>
                <w:b/>
              </w:rPr>
            </w:pPr>
          </w:p>
          <w:p w14:paraId="637BA42F" w14:textId="77777777" w:rsidR="00785F44" w:rsidRDefault="00000000">
            <w:pPr>
              <w:jc w:val="center"/>
              <w:rPr>
                <w:b/>
              </w:rPr>
            </w:pPr>
            <w:r>
              <w:rPr>
                <w:b/>
              </w:rPr>
              <w:t>Ohio Transfer 36 Learning Outcomes</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568A00" w14:textId="77777777" w:rsidR="00785F44" w:rsidRDefault="00785F44">
            <w:pPr>
              <w:jc w:val="center"/>
              <w:rPr>
                <w:b/>
              </w:rPr>
            </w:pPr>
          </w:p>
          <w:p w14:paraId="27F8DD32" w14:textId="77777777" w:rsidR="00785F44" w:rsidRDefault="00000000">
            <w:pPr>
              <w:jc w:val="center"/>
            </w:pPr>
            <w:r>
              <w:rPr>
                <w:b/>
              </w:rPr>
              <w:t>A) Course Learning Outcomes/Content</w:t>
            </w:r>
            <w:r>
              <w:t xml:space="preserve"> </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A8DAD" w14:textId="77777777" w:rsidR="00785F44" w:rsidRDefault="00785F44">
            <w:pPr>
              <w:jc w:val="center"/>
              <w:rPr>
                <w:b/>
              </w:rPr>
            </w:pPr>
          </w:p>
          <w:p w14:paraId="7429D666" w14:textId="77777777" w:rsidR="00785F44" w:rsidRDefault="00000000">
            <w:pPr>
              <w:jc w:val="center"/>
              <w:rPr>
                <w:b/>
              </w:rPr>
            </w:pPr>
            <w:r>
              <w:rPr>
                <w:b/>
              </w:rPr>
              <w:t>B) Assessment of Student Learning</w:t>
            </w:r>
          </w:p>
        </w:tc>
        <w:tc>
          <w:tcPr>
            <w:tcW w:w="243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2FBDF" w14:textId="77777777" w:rsidR="00785F44" w:rsidRDefault="00785F44">
            <w:pPr>
              <w:jc w:val="center"/>
              <w:rPr>
                <w:b/>
              </w:rPr>
            </w:pPr>
          </w:p>
          <w:p w14:paraId="67555461" w14:textId="77777777" w:rsidR="00785F44" w:rsidRDefault="00000000">
            <w:pPr>
              <w:jc w:val="center"/>
              <w:rPr>
                <w:b/>
              </w:rPr>
            </w:pPr>
            <w:r>
              <w:rPr>
                <w:b/>
              </w:rPr>
              <w:t>C) Key Locations of Evidence in Attached Documents</w:t>
            </w:r>
          </w:p>
        </w:tc>
      </w:tr>
      <w:tr w:rsidR="00785F44" w14:paraId="63FB4095" w14:textId="77777777" w:rsidTr="009A55C6">
        <w:trPr>
          <w:trHeight w:val="935"/>
        </w:trPr>
        <w:tc>
          <w:tcPr>
            <w:tcW w:w="67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3BFAA7" w14:textId="77777777" w:rsidR="00D55A3F" w:rsidRPr="001E20CE" w:rsidRDefault="00D55A3F" w:rsidP="00D55A3F">
            <w:pPr>
              <w:pStyle w:val="Heading3"/>
              <w:numPr>
                <w:ilvl w:val="0"/>
                <w:numId w:val="18"/>
              </w:numPr>
              <w:tabs>
                <w:tab w:val="num" w:pos="360"/>
              </w:tabs>
              <w:ind w:left="0" w:firstLine="0"/>
              <w:rPr>
                <w:rFonts w:ascii="Calibri" w:hAnsi="Calibri" w:cs="Calibri"/>
                <w:sz w:val="22"/>
                <w:szCs w:val="22"/>
              </w:rPr>
            </w:pPr>
            <w:r w:rsidRPr="001E20CE">
              <w:rPr>
                <w:rFonts w:ascii="Calibri" w:hAnsi="Calibri" w:cs="Calibri"/>
                <w:sz w:val="22"/>
                <w:szCs w:val="22"/>
              </w:rPr>
              <w:lastRenderedPageBreak/>
              <w:t xml:space="preserve">Rhetorical Knowledge </w:t>
            </w:r>
          </w:p>
          <w:p w14:paraId="6C0BD39F" w14:textId="77777777" w:rsidR="00D55A3F" w:rsidRPr="001E20CE" w:rsidRDefault="00D55A3F" w:rsidP="00D55A3F">
            <w:pPr>
              <w:ind w:left="360"/>
              <w:rPr>
                <w:rFonts w:eastAsia="Times New Roman" w:cs="Calibri"/>
                <w:i/>
              </w:rPr>
            </w:pPr>
            <w:r w:rsidRPr="001E20CE">
              <w:rPr>
                <w:rFonts w:eastAsia="Times New Roman" w:cs="Calibri"/>
                <w:i/>
              </w:rPr>
              <w:t>Students will further develop their understanding of rhetorical situations as they read academic texts and practice tailoring their work for specific audiences.</w:t>
            </w:r>
          </w:p>
          <w:p w14:paraId="1CC27DBD" w14:textId="77777777" w:rsidR="00D55A3F" w:rsidRPr="001E20CE" w:rsidRDefault="00D55A3F" w:rsidP="00D55A3F">
            <w:pPr>
              <w:ind w:left="360"/>
              <w:rPr>
                <w:rFonts w:eastAsia="Times New Roman" w:cs="Calibri"/>
                <w:b/>
                <w:bCs/>
              </w:rPr>
            </w:pPr>
            <w:r w:rsidRPr="001E20CE">
              <w:rPr>
                <w:rFonts w:eastAsia="Times New Roman" w:cs="Calibri"/>
                <w:b/>
                <w:bCs/>
              </w:rPr>
              <w:t>The second writing course reinforces the rhetorical principles that students address in the first writing course. In addition, by the end of the second course, students should be able to</w:t>
            </w:r>
          </w:p>
          <w:p w14:paraId="6C5E829D" w14:textId="77777777" w:rsidR="00D55A3F" w:rsidRPr="001E20CE" w:rsidRDefault="00D55A3F" w:rsidP="00D55A3F">
            <w:pPr>
              <w:numPr>
                <w:ilvl w:val="0"/>
                <w:numId w:val="17"/>
              </w:numPr>
              <w:spacing w:line="240" w:lineRule="auto"/>
              <w:rPr>
                <w:rFonts w:eastAsia="Times New Roman" w:cs="Calibri"/>
              </w:rPr>
            </w:pPr>
            <w:r w:rsidRPr="001E20CE">
              <w:rPr>
                <w:rFonts w:eastAsia="Times New Roman" w:cs="Calibri"/>
              </w:rPr>
              <w:t>Read academic texts and understand how disciplinary conventions shape the texts they read.</w:t>
            </w:r>
          </w:p>
          <w:p w14:paraId="00C5C1C4" w14:textId="77777777" w:rsidR="00D55A3F" w:rsidRPr="001E20CE" w:rsidRDefault="00D55A3F" w:rsidP="00D55A3F">
            <w:pPr>
              <w:numPr>
                <w:ilvl w:val="0"/>
                <w:numId w:val="17"/>
              </w:numPr>
              <w:spacing w:line="240" w:lineRule="auto"/>
              <w:rPr>
                <w:rFonts w:eastAsia="Times New Roman" w:cs="Calibri"/>
              </w:rPr>
            </w:pPr>
            <w:r w:rsidRPr="001E20CE">
              <w:rPr>
                <w:rFonts w:eastAsia="Times New Roman" w:cs="Calibri"/>
              </w:rPr>
              <w:t>Compose texts that respond to the needs of appropriate audiences, using suitable discourse conventions to shape those texts.</w:t>
            </w:r>
          </w:p>
          <w:p w14:paraId="3DA73214" w14:textId="77777777" w:rsidR="00D55A3F" w:rsidRPr="001E20CE" w:rsidRDefault="00D55A3F" w:rsidP="00D55A3F">
            <w:pPr>
              <w:numPr>
                <w:ilvl w:val="0"/>
                <w:numId w:val="17"/>
              </w:numPr>
              <w:spacing w:line="240" w:lineRule="auto"/>
              <w:rPr>
                <w:rFonts w:eastAsia="Times New Roman" w:cs="Calibri"/>
              </w:rPr>
            </w:pPr>
            <w:r w:rsidRPr="001E20CE">
              <w:rPr>
                <w:rFonts w:eastAsia="Times New Roman" w:cs="Calibri"/>
              </w:rPr>
              <w:t>Use academic conventions of format and structure when appropriate.</w:t>
            </w:r>
          </w:p>
          <w:p w14:paraId="68D539B2" w14:textId="4F511A20" w:rsidR="00785F44" w:rsidRPr="00B81B05" w:rsidRDefault="00785F44" w:rsidP="00D55A3F">
            <w:pPr>
              <w:spacing w:line="240" w:lineRule="auto"/>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571342B2" w14:textId="2FCBB47B" w:rsidR="00785F44" w:rsidRDefault="00785F44">
            <w:pPr>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18F2891F" w14:textId="34D78F9A" w:rsidR="00785F44" w:rsidRDefault="00785F44">
            <w:pPr>
              <w:rPr>
                <w:b/>
              </w:rPr>
            </w:pPr>
          </w:p>
        </w:tc>
        <w:tc>
          <w:tcPr>
            <w:tcW w:w="2433" w:type="dxa"/>
            <w:tcBorders>
              <w:bottom w:val="single" w:sz="8" w:space="0" w:color="000000"/>
              <w:right w:val="single" w:sz="8" w:space="0" w:color="000000"/>
            </w:tcBorders>
            <w:tcMar>
              <w:top w:w="100" w:type="dxa"/>
              <w:left w:w="100" w:type="dxa"/>
              <w:bottom w:w="100" w:type="dxa"/>
              <w:right w:w="100" w:type="dxa"/>
            </w:tcMar>
          </w:tcPr>
          <w:p w14:paraId="2B8337AA" w14:textId="4CACD445" w:rsidR="00785F44" w:rsidRDefault="00785F44">
            <w:pPr>
              <w:rPr>
                <w:b/>
              </w:rPr>
            </w:pPr>
          </w:p>
        </w:tc>
      </w:tr>
      <w:tr w:rsidR="00785F44" w14:paraId="2FD0EF3F" w14:textId="77777777" w:rsidTr="009A55C6">
        <w:trPr>
          <w:trHeight w:val="935"/>
        </w:trPr>
        <w:tc>
          <w:tcPr>
            <w:tcW w:w="67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E3C920F" w14:textId="77777777" w:rsidR="00D55A3F" w:rsidRPr="001E20CE" w:rsidRDefault="00D55A3F" w:rsidP="00D55A3F">
            <w:pPr>
              <w:pStyle w:val="Heading3"/>
              <w:numPr>
                <w:ilvl w:val="0"/>
                <w:numId w:val="18"/>
              </w:numPr>
              <w:tabs>
                <w:tab w:val="num" w:pos="360"/>
              </w:tabs>
              <w:ind w:left="0" w:firstLine="0"/>
              <w:rPr>
                <w:rFonts w:ascii="Calibri" w:hAnsi="Calibri" w:cs="Calibri"/>
                <w:sz w:val="22"/>
                <w:szCs w:val="22"/>
              </w:rPr>
            </w:pPr>
            <w:r w:rsidRPr="001E20CE">
              <w:rPr>
                <w:rFonts w:ascii="Calibri" w:hAnsi="Calibri" w:cs="Calibri"/>
                <w:sz w:val="22"/>
                <w:szCs w:val="22"/>
              </w:rPr>
              <w:lastRenderedPageBreak/>
              <w:t xml:space="preserve">Critical Thinking, Reading, and Writing </w:t>
            </w:r>
          </w:p>
          <w:p w14:paraId="64BC02EB" w14:textId="77777777" w:rsidR="00D55A3F" w:rsidRPr="001E20CE" w:rsidRDefault="00D55A3F" w:rsidP="00D55A3F">
            <w:pPr>
              <w:ind w:left="360"/>
              <w:rPr>
                <w:rFonts w:eastAsia="Times New Roman" w:cs="Calibri"/>
                <w:i/>
              </w:rPr>
            </w:pPr>
            <w:r w:rsidRPr="001E20CE">
              <w:rPr>
                <w:rFonts w:eastAsia="Times New Roman" w:cs="Calibri"/>
                <w:i/>
              </w:rPr>
              <w:t>Students will further develop their critical thinking skills as they analyze and synthesize academic texts.</w:t>
            </w:r>
          </w:p>
          <w:p w14:paraId="1BC8D76D" w14:textId="77777777" w:rsidR="00D55A3F" w:rsidRPr="001E20CE" w:rsidRDefault="00D55A3F" w:rsidP="00D55A3F">
            <w:pPr>
              <w:ind w:left="360"/>
              <w:rPr>
                <w:rFonts w:eastAsia="Times New Roman" w:cs="Calibri"/>
                <w:b/>
                <w:bCs/>
              </w:rPr>
            </w:pPr>
            <w:r w:rsidRPr="001E20CE">
              <w:rPr>
                <w:rFonts w:eastAsia="Times New Roman" w:cs="Calibri"/>
                <w:b/>
                <w:bCs/>
              </w:rPr>
              <w:t>The second writing course should reinforce the critical reading and thinking skills students developed in the first course. In addition, by the end of the second course, students should be able to</w:t>
            </w:r>
          </w:p>
          <w:p w14:paraId="02FD3337" w14:textId="77777777" w:rsidR="00D55A3F" w:rsidRPr="001E20CE" w:rsidRDefault="00D55A3F" w:rsidP="00D55A3F">
            <w:pPr>
              <w:numPr>
                <w:ilvl w:val="0"/>
                <w:numId w:val="19"/>
              </w:numPr>
              <w:spacing w:line="240" w:lineRule="auto"/>
              <w:rPr>
                <w:rFonts w:eastAsia="Times New Roman" w:cs="Calibri"/>
              </w:rPr>
            </w:pPr>
            <w:r w:rsidRPr="001E20CE">
              <w:rPr>
                <w:rFonts w:eastAsia="Times New Roman" w:cs="Calibri"/>
              </w:rPr>
              <w:t>Find and evaluate appropriate material from electronic and other sources.</w:t>
            </w:r>
          </w:p>
          <w:p w14:paraId="46A26473" w14:textId="77777777" w:rsidR="00D55A3F" w:rsidRPr="001E20CE" w:rsidRDefault="00D55A3F" w:rsidP="00D55A3F">
            <w:pPr>
              <w:numPr>
                <w:ilvl w:val="0"/>
                <w:numId w:val="19"/>
              </w:numPr>
              <w:spacing w:line="240" w:lineRule="auto"/>
              <w:rPr>
                <w:rFonts w:eastAsia="Times New Roman" w:cs="Calibri"/>
              </w:rPr>
            </w:pPr>
            <w:r w:rsidRPr="001E20CE">
              <w:rPr>
                <w:rFonts w:eastAsia="Times New Roman" w:cs="Calibri"/>
              </w:rPr>
              <w:t>Locate, evaluate, organize, and use primary and secondary research material. Secondary research material should be collected from various sources, including journal articles and other scholarly texts found in library databases, other official databases (e.g., federal government databases), and informal electronic networks and internet sources.</w:t>
            </w:r>
          </w:p>
          <w:p w14:paraId="5EF474B5" w14:textId="77777777" w:rsidR="00D55A3F" w:rsidRPr="001E20CE" w:rsidRDefault="00D55A3F" w:rsidP="00D55A3F">
            <w:pPr>
              <w:numPr>
                <w:ilvl w:val="0"/>
                <w:numId w:val="19"/>
              </w:numPr>
              <w:spacing w:line="240" w:lineRule="auto"/>
              <w:rPr>
                <w:rFonts w:eastAsia="Times New Roman" w:cs="Calibri"/>
              </w:rPr>
            </w:pPr>
            <w:r w:rsidRPr="001E20CE">
              <w:rPr>
                <w:rFonts w:eastAsia="Times New Roman" w:cs="Calibri"/>
              </w:rPr>
              <w:t>Analyze and critique sources in their writing.</w:t>
            </w:r>
          </w:p>
          <w:p w14:paraId="632E27EE" w14:textId="77777777" w:rsidR="00D55A3F" w:rsidRPr="001E20CE" w:rsidRDefault="00D55A3F" w:rsidP="00D55A3F">
            <w:pPr>
              <w:numPr>
                <w:ilvl w:val="0"/>
                <w:numId w:val="19"/>
              </w:numPr>
              <w:spacing w:line="240" w:lineRule="auto"/>
              <w:rPr>
                <w:rFonts w:eastAsia="Times New Roman" w:cs="Calibri"/>
              </w:rPr>
            </w:pPr>
            <w:r w:rsidRPr="001E20CE">
              <w:rPr>
                <w:rFonts w:eastAsia="Times New Roman" w:cs="Calibri"/>
              </w:rPr>
              <w:t>Juxtapose and integrate ideas and arguments from sources.</w:t>
            </w:r>
          </w:p>
          <w:p w14:paraId="7CBED00A" w14:textId="77777777" w:rsidR="00D55A3F" w:rsidRPr="001E20CE" w:rsidRDefault="00D55A3F" w:rsidP="00D55A3F">
            <w:pPr>
              <w:numPr>
                <w:ilvl w:val="0"/>
                <w:numId w:val="19"/>
              </w:numPr>
              <w:spacing w:line="240" w:lineRule="auto"/>
              <w:rPr>
                <w:rFonts w:eastAsia="Times New Roman" w:cs="Calibri"/>
              </w:rPr>
            </w:pPr>
            <w:r w:rsidRPr="001E20CE">
              <w:rPr>
                <w:rFonts w:eastAsia="Times New Roman" w:cs="Calibri"/>
              </w:rPr>
              <w:t>Use strategies—such as interpretation, synthesis, response, critique, and design/redesign—to compose texts that integrate their original ideas with those from academic sources and other documents.</w:t>
            </w:r>
          </w:p>
          <w:p w14:paraId="6E5E45D2" w14:textId="1A8C116D" w:rsidR="00785F44" w:rsidRPr="009A55C6" w:rsidRDefault="00785F44"/>
        </w:tc>
        <w:tc>
          <w:tcPr>
            <w:tcW w:w="2433" w:type="dxa"/>
            <w:tcBorders>
              <w:bottom w:val="single" w:sz="8" w:space="0" w:color="000000"/>
              <w:right w:val="single" w:sz="8" w:space="0" w:color="000000"/>
            </w:tcBorders>
            <w:tcMar>
              <w:top w:w="100" w:type="dxa"/>
              <w:left w:w="100" w:type="dxa"/>
              <w:bottom w:w="100" w:type="dxa"/>
              <w:right w:w="100" w:type="dxa"/>
            </w:tcMar>
          </w:tcPr>
          <w:p w14:paraId="31A97364" w14:textId="77777777" w:rsidR="00785F44" w:rsidRDefault="00000000">
            <w:r>
              <w:t xml:space="preserve"> </w:t>
            </w:r>
          </w:p>
        </w:tc>
        <w:tc>
          <w:tcPr>
            <w:tcW w:w="2433" w:type="dxa"/>
            <w:tcBorders>
              <w:bottom w:val="single" w:sz="8" w:space="0" w:color="000000"/>
              <w:right w:val="single" w:sz="8" w:space="0" w:color="000000"/>
            </w:tcBorders>
            <w:tcMar>
              <w:top w:w="100" w:type="dxa"/>
              <w:left w:w="100" w:type="dxa"/>
              <w:bottom w:w="100" w:type="dxa"/>
              <w:right w:w="100" w:type="dxa"/>
            </w:tcMar>
          </w:tcPr>
          <w:p w14:paraId="4CBC7E99" w14:textId="77777777" w:rsidR="00785F44" w:rsidRDefault="00000000">
            <w:r>
              <w:t xml:space="preserve"> </w:t>
            </w:r>
          </w:p>
        </w:tc>
        <w:tc>
          <w:tcPr>
            <w:tcW w:w="2433" w:type="dxa"/>
            <w:tcBorders>
              <w:bottom w:val="single" w:sz="8" w:space="0" w:color="000000"/>
              <w:right w:val="single" w:sz="8" w:space="0" w:color="000000"/>
            </w:tcBorders>
            <w:tcMar>
              <w:top w:w="100" w:type="dxa"/>
              <w:left w:w="100" w:type="dxa"/>
              <w:bottom w:w="100" w:type="dxa"/>
              <w:right w:w="100" w:type="dxa"/>
            </w:tcMar>
          </w:tcPr>
          <w:p w14:paraId="7651810E" w14:textId="77777777" w:rsidR="00785F44" w:rsidRDefault="00000000">
            <w:r>
              <w:t xml:space="preserve"> </w:t>
            </w:r>
          </w:p>
        </w:tc>
      </w:tr>
      <w:tr w:rsidR="00785F44" w14:paraId="2290E9DD" w14:textId="77777777" w:rsidTr="00D55A3F">
        <w:trPr>
          <w:trHeight w:val="935"/>
        </w:trPr>
        <w:tc>
          <w:tcPr>
            <w:tcW w:w="6706" w:type="dxa"/>
            <w:tcBorders>
              <w:left w:val="single" w:sz="8" w:space="0" w:color="000000"/>
              <w:right w:val="single" w:sz="8" w:space="0" w:color="000000"/>
            </w:tcBorders>
            <w:tcMar>
              <w:top w:w="100" w:type="dxa"/>
              <w:left w:w="100" w:type="dxa"/>
              <w:bottom w:w="100" w:type="dxa"/>
              <w:right w:w="100" w:type="dxa"/>
            </w:tcMar>
          </w:tcPr>
          <w:p w14:paraId="720F5FFF" w14:textId="77777777" w:rsidR="00D55A3F" w:rsidRPr="001E20CE" w:rsidRDefault="00D55A3F" w:rsidP="00D55A3F">
            <w:pPr>
              <w:pStyle w:val="Heading3"/>
              <w:numPr>
                <w:ilvl w:val="0"/>
                <w:numId w:val="18"/>
              </w:numPr>
              <w:tabs>
                <w:tab w:val="num" w:pos="360"/>
              </w:tabs>
              <w:ind w:left="0" w:firstLine="0"/>
              <w:rPr>
                <w:rFonts w:ascii="Calibri" w:hAnsi="Calibri" w:cs="Calibri"/>
                <w:sz w:val="22"/>
                <w:szCs w:val="22"/>
              </w:rPr>
            </w:pPr>
            <w:r w:rsidRPr="001E20CE">
              <w:rPr>
                <w:rFonts w:ascii="Calibri" w:hAnsi="Calibri" w:cs="Calibri"/>
                <w:sz w:val="22"/>
                <w:szCs w:val="22"/>
              </w:rPr>
              <w:lastRenderedPageBreak/>
              <w:t>Knowledge of Composing Processes</w:t>
            </w:r>
          </w:p>
          <w:p w14:paraId="52E2AC0D" w14:textId="77777777" w:rsidR="00D55A3F" w:rsidRPr="001E20CE" w:rsidRDefault="00D55A3F" w:rsidP="00D55A3F">
            <w:pPr>
              <w:ind w:firstLine="360"/>
              <w:rPr>
                <w:rFonts w:eastAsia="Times New Roman" w:cs="Calibri"/>
                <w:bCs/>
                <w:i/>
                <w:iCs/>
              </w:rPr>
            </w:pPr>
            <w:r w:rsidRPr="001E20CE">
              <w:rPr>
                <w:rFonts w:eastAsia="Times New Roman" w:cs="Calibri"/>
                <w:bCs/>
                <w:i/>
                <w:iCs/>
              </w:rPr>
              <w:t>Students will continue to hone their revision strategies and reflect critically on their writing practices.</w:t>
            </w:r>
          </w:p>
          <w:p w14:paraId="5CEF56A6" w14:textId="77777777" w:rsidR="00D55A3F" w:rsidRPr="001E20CE" w:rsidRDefault="00D55A3F" w:rsidP="00D55A3F">
            <w:pPr>
              <w:ind w:left="360"/>
              <w:rPr>
                <w:rFonts w:eastAsia="Times New Roman" w:cs="Calibri"/>
                <w:b/>
                <w:bCs/>
              </w:rPr>
            </w:pPr>
            <w:r w:rsidRPr="001E20CE">
              <w:rPr>
                <w:rFonts w:eastAsia="Times New Roman" w:cs="Calibri"/>
                <w:b/>
                <w:bCs/>
              </w:rPr>
              <w:t xml:space="preserve">The second class should reinforce the fact that writing is a flexible and recursive process. Because students often write more scholarly texts in the second course than they did in the first, practice in generating ideas and text, drafting, revising, and editing are even more important in the second class. By the end of the second class, students should be able to </w:t>
            </w:r>
          </w:p>
          <w:p w14:paraId="64DBF5AB" w14:textId="77777777" w:rsidR="00D55A3F" w:rsidRPr="001E20CE" w:rsidRDefault="00D55A3F" w:rsidP="00D55A3F">
            <w:pPr>
              <w:numPr>
                <w:ilvl w:val="0"/>
                <w:numId w:val="20"/>
              </w:numPr>
              <w:spacing w:line="240" w:lineRule="auto"/>
              <w:rPr>
                <w:rFonts w:eastAsia="Times New Roman" w:cs="Calibri"/>
              </w:rPr>
            </w:pPr>
            <w:r w:rsidRPr="001E20CE">
              <w:rPr>
                <w:rFonts w:eastAsia="Times New Roman" w:cs="Calibri"/>
              </w:rPr>
              <w:t>Select and apply appropriate writing processes to match the context.</w:t>
            </w:r>
          </w:p>
          <w:p w14:paraId="656C9961" w14:textId="77777777" w:rsidR="00D55A3F" w:rsidRPr="001E20CE" w:rsidRDefault="00D55A3F" w:rsidP="00D55A3F">
            <w:pPr>
              <w:numPr>
                <w:ilvl w:val="0"/>
                <w:numId w:val="20"/>
              </w:numPr>
              <w:spacing w:line="240" w:lineRule="auto"/>
              <w:rPr>
                <w:rFonts w:eastAsia="Times New Roman" w:cs="Calibri"/>
              </w:rPr>
            </w:pPr>
            <w:r w:rsidRPr="001E20CE">
              <w:rPr>
                <w:rFonts w:eastAsia="Times New Roman" w:cs="Calibri"/>
              </w:rPr>
              <w:t>Revise for a variety of technologies and modalities.</w:t>
            </w:r>
          </w:p>
          <w:p w14:paraId="12450C89" w14:textId="77777777" w:rsidR="00D55A3F" w:rsidRPr="001E20CE" w:rsidRDefault="00D55A3F" w:rsidP="00D55A3F">
            <w:pPr>
              <w:numPr>
                <w:ilvl w:val="0"/>
                <w:numId w:val="20"/>
              </w:numPr>
              <w:spacing w:line="240" w:lineRule="auto"/>
              <w:rPr>
                <w:rFonts w:eastAsia="Times New Roman" w:cs="Calibri"/>
              </w:rPr>
            </w:pPr>
            <w:r w:rsidRPr="001E20CE">
              <w:rPr>
                <w:rFonts w:eastAsia="Times New Roman" w:cs="Calibri"/>
              </w:rPr>
              <w:t xml:space="preserve">Use composition and revision </w:t>
            </w:r>
            <w:proofErr w:type="gramStart"/>
            <w:r w:rsidRPr="001E20CE">
              <w:rPr>
                <w:rFonts w:eastAsia="Times New Roman" w:cs="Calibri"/>
              </w:rPr>
              <w:t>as a means to</w:t>
            </w:r>
            <w:proofErr w:type="gramEnd"/>
            <w:r w:rsidRPr="001E20CE">
              <w:rPr>
                <w:rFonts w:eastAsia="Times New Roman" w:cs="Calibri"/>
              </w:rPr>
              <w:t xml:space="preserve"> discover and reconsider ideas.</w:t>
            </w:r>
          </w:p>
          <w:p w14:paraId="7DFEA5A1" w14:textId="77777777" w:rsidR="00D55A3F" w:rsidRPr="001E20CE" w:rsidRDefault="00D55A3F" w:rsidP="00D55A3F">
            <w:pPr>
              <w:numPr>
                <w:ilvl w:val="0"/>
                <w:numId w:val="20"/>
              </w:numPr>
              <w:spacing w:line="240" w:lineRule="auto"/>
              <w:rPr>
                <w:rFonts w:eastAsia="Times New Roman" w:cs="Calibri"/>
              </w:rPr>
            </w:pPr>
            <w:r w:rsidRPr="001E20CE">
              <w:rPr>
                <w:rFonts w:eastAsia="Times New Roman" w:cs="Calibri"/>
              </w:rPr>
              <w:t>Reflect on the development of their revision strategies and consider how those strategies influence their work.</w:t>
            </w:r>
          </w:p>
          <w:p w14:paraId="2D2504BB" w14:textId="77777777" w:rsidR="00D55A3F" w:rsidRPr="001E20CE" w:rsidRDefault="00D55A3F" w:rsidP="00D55A3F">
            <w:pPr>
              <w:numPr>
                <w:ilvl w:val="0"/>
                <w:numId w:val="20"/>
              </w:numPr>
              <w:spacing w:line="240" w:lineRule="auto"/>
              <w:rPr>
                <w:rFonts w:eastAsia="Times New Roman" w:cs="Calibri"/>
              </w:rPr>
            </w:pPr>
            <w:r w:rsidRPr="001E20CE">
              <w:rPr>
                <w:rFonts w:eastAsia="Times New Roman" w:cs="Calibri"/>
              </w:rPr>
              <w:t>Produce successive drafts of increasing quality.</w:t>
            </w:r>
          </w:p>
          <w:p w14:paraId="5C188D1F" w14:textId="0A853195" w:rsidR="00785F44" w:rsidRPr="009A55C6" w:rsidRDefault="00785F44"/>
        </w:tc>
        <w:tc>
          <w:tcPr>
            <w:tcW w:w="2433" w:type="dxa"/>
            <w:tcBorders>
              <w:right w:val="single" w:sz="8" w:space="0" w:color="000000"/>
            </w:tcBorders>
            <w:tcMar>
              <w:top w:w="100" w:type="dxa"/>
              <w:left w:w="100" w:type="dxa"/>
              <w:bottom w:w="100" w:type="dxa"/>
              <w:right w:w="100" w:type="dxa"/>
            </w:tcMar>
          </w:tcPr>
          <w:p w14:paraId="34EAD1E1" w14:textId="77777777" w:rsidR="00785F44" w:rsidRDefault="00000000">
            <w:r>
              <w:t xml:space="preserve"> </w:t>
            </w:r>
          </w:p>
        </w:tc>
        <w:tc>
          <w:tcPr>
            <w:tcW w:w="2433" w:type="dxa"/>
            <w:tcBorders>
              <w:right w:val="single" w:sz="8" w:space="0" w:color="000000"/>
            </w:tcBorders>
            <w:tcMar>
              <w:top w:w="100" w:type="dxa"/>
              <w:left w:w="100" w:type="dxa"/>
              <w:bottom w:w="100" w:type="dxa"/>
              <w:right w:w="100" w:type="dxa"/>
            </w:tcMar>
          </w:tcPr>
          <w:p w14:paraId="2F8262A1" w14:textId="77777777" w:rsidR="00785F44" w:rsidRDefault="00000000">
            <w:r>
              <w:t xml:space="preserve"> </w:t>
            </w:r>
          </w:p>
        </w:tc>
        <w:tc>
          <w:tcPr>
            <w:tcW w:w="2433" w:type="dxa"/>
            <w:tcBorders>
              <w:right w:val="single" w:sz="8" w:space="0" w:color="000000"/>
            </w:tcBorders>
            <w:tcMar>
              <w:top w:w="100" w:type="dxa"/>
              <w:left w:w="100" w:type="dxa"/>
              <w:bottom w:w="100" w:type="dxa"/>
              <w:right w:w="100" w:type="dxa"/>
            </w:tcMar>
          </w:tcPr>
          <w:p w14:paraId="380E95AD" w14:textId="77777777" w:rsidR="00785F44" w:rsidRDefault="00000000">
            <w:r>
              <w:t xml:space="preserve"> </w:t>
            </w:r>
          </w:p>
        </w:tc>
      </w:tr>
      <w:tr w:rsidR="00D55A3F" w14:paraId="7B17FD45" w14:textId="77777777" w:rsidTr="009A55C6">
        <w:trPr>
          <w:trHeight w:val="935"/>
        </w:trPr>
        <w:tc>
          <w:tcPr>
            <w:tcW w:w="67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F18CC0" w14:textId="77777777" w:rsidR="00D55A3F" w:rsidRPr="00B01231" w:rsidRDefault="00D55A3F" w:rsidP="00D55A3F">
            <w:pPr>
              <w:pStyle w:val="Heading3"/>
              <w:numPr>
                <w:ilvl w:val="0"/>
                <w:numId w:val="18"/>
              </w:numPr>
              <w:tabs>
                <w:tab w:val="num" w:pos="360"/>
              </w:tabs>
              <w:ind w:left="0" w:firstLine="0"/>
              <w:rPr>
                <w:rFonts w:ascii="Calibri" w:hAnsi="Calibri" w:cs="Calibri"/>
                <w:sz w:val="22"/>
                <w:szCs w:val="22"/>
              </w:rPr>
            </w:pPr>
            <w:r w:rsidRPr="00B01231">
              <w:rPr>
                <w:rFonts w:ascii="Calibri" w:hAnsi="Calibri" w:cs="Calibri"/>
                <w:sz w:val="22"/>
                <w:szCs w:val="22"/>
              </w:rPr>
              <w:lastRenderedPageBreak/>
              <w:t>Knowledge of Conventions</w:t>
            </w:r>
          </w:p>
          <w:p w14:paraId="26B16B68" w14:textId="77777777" w:rsidR="00D55A3F" w:rsidRPr="00DB2089" w:rsidRDefault="00D55A3F" w:rsidP="00D55A3F">
            <w:pPr>
              <w:ind w:firstLine="360"/>
              <w:rPr>
                <w:rFonts w:eastAsia="Times New Roman" w:cs="Calibri"/>
                <w:i/>
              </w:rPr>
            </w:pPr>
            <w:r w:rsidRPr="00DB2089">
              <w:rPr>
                <w:rFonts w:eastAsia="Times New Roman" w:cs="Calibri"/>
                <w:i/>
              </w:rPr>
              <w:t>Students will study academic conventions and apply appropriate conventions to their own work.</w:t>
            </w:r>
          </w:p>
          <w:p w14:paraId="7F723D75" w14:textId="77777777" w:rsidR="00D55A3F" w:rsidRPr="00DB2089" w:rsidRDefault="00D55A3F" w:rsidP="00D55A3F">
            <w:pPr>
              <w:ind w:left="360"/>
              <w:rPr>
                <w:rFonts w:eastAsia="Times New Roman" w:cs="Calibri"/>
                <w:b/>
                <w:bCs/>
              </w:rPr>
            </w:pPr>
            <w:r w:rsidRPr="00DB2089">
              <w:rPr>
                <w:rFonts w:eastAsia="Times New Roman" w:cs="Calibri"/>
                <w:b/>
                <w:bCs/>
              </w:rPr>
              <w:t>The second writing course should reinforce and expand the knowledge of conventions students developed in the first writing course. In addition, by the end of the second writing course, students should be able to</w:t>
            </w:r>
          </w:p>
          <w:p w14:paraId="5CACB90C" w14:textId="77777777" w:rsidR="00D55A3F" w:rsidRPr="00DB2089" w:rsidRDefault="00D55A3F" w:rsidP="00D55A3F">
            <w:pPr>
              <w:numPr>
                <w:ilvl w:val="0"/>
                <w:numId w:val="21"/>
              </w:numPr>
              <w:spacing w:line="240" w:lineRule="auto"/>
              <w:rPr>
                <w:rFonts w:eastAsia="Times New Roman" w:cs="Calibri"/>
              </w:rPr>
            </w:pPr>
            <w:r w:rsidRPr="00DB2089">
              <w:rPr>
                <w:rFonts w:eastAsia="Times New Roman" w:cs="Calibri"/>
              </w:rPr>
              <w:t>Understand why conventions vary.</w:t>
            </w:r>
          </w:p>
          <w:p w14:paraId="6943F1D3" w14:textId="77777777" w:rsidR="00D55A3F" w:rsidRPr="00DB2089" w:rsidRDefault="00D55A3F" w:rsidP="00D55A3F">
            <w:pPr>
              <w:numPr>
                <w:ilvl w:val="0"/>
                <w:numId w:val="21"/>
              </w:numPr>
              <w:spacing w:line="240" w:lineRule="auto"/>
              <w:rPr>
                <w:rFonts w:eastAsia="Times New Roman" w:cs="Calibri"/>
              </w:rPr>
            </w:pPr>
            <w:r w:rsidRPr="00DB2089">
              <w:rPr>
                <w:rFonts w:eastAsia="Times New Roman" w:cs="Calibri"/>
              </w:rPr>
              <w:t>Recognize the genre conventions employed by various academic disciplines.</w:t>
            </w:r>
          </w:p>
          <w:p w14:paraId="6EA11E24" w14:textId="77777777" w:rsidR="00D55A3F" w:rsidRPr="00DB2089" w:rsidRDefault="00D55A3F" w:rsidP="00D55A3F">
            <w:pPr>
              <w:numPr>
                <w:ilvl w:val="0"/>
                <w:numId w:val="21"/>
              </w:numPr>
              <w:spacing w:line="240" w:lineRule="auto"/>
              <w:rPr>
                <w:rFonts w:eastAsia="Times New Roman" w:cs="Calibri"/>
              </w:rPr>
            </w:pPr>
            <w:r w:rsidRPr="00DB2089">
              <w:rPr>
                <w:rFonts w:eastAsia="Times New Roman" w:cs="Calibri"/>
              </w:rPr>
              <w:t xml:space="preserve">Employ appropriate textual conventions for incorporating ideas from sources (e.g., introducing and incorporating </w:t>
            </w:r>
            <w:proofErr w:type="gramStart"/>
            <w:r w:rsidRPr="00DB2089">
              <w:rPr>
                <w:rFonts w:eastAsia="Times New Roman" w:cs="Calibri"/>
              </w:rPr>
              <w:t>quotations;</w:t>
            </w:r>
            <w:proofErr w:type="gramEnd"/>
            <w:r w:rsidRPr="00DB2089">
              <w:rPr>
                <w:rFonts w:eastAsia="Times New Roman" w:cs="Calibri"/>
              </w:rPr>
              <w:t xml:space="preserve"> quoting, paraphrasing, and summarizing).</w:t>
            </w:r>
          </w:p>
          <w:p w14:paraId="39C25CAA" w14:textId="77777777" w:rsidR="00D55A3F" w:rsidRPr="009A55C6" w:rsidRDefault="00D55A3F"/>
        </w:tc>
        <w:tc>
          <w:tcPr>
            <w:tcW w:w="2433" w:type="dxa"/>
            <w:tcBorders>
              <w:bottom w:val="single" w:sz="8" w:space="0" w:color="000000"/>
              <w:right w:val="single" w:sz="8" w:space="0" w:color="000000"/>
            </w:tcBorders>
            <w:tcMar>
              <w:top w:w="100" w:type="dxa"/>
              <w:left w:w="100" w:type="dxa"/>
              <w:bottom w:w="100" w:type="dxa"/>
              <w:right w:w="100" w:type="dxa"/>
            </w:tcMar>
          </w:tcPr>
          <w:p w14:paraId="7069BE18" w14:textId="77777777" w:rsidR="00D55A3F" w:rsidRDefault="00D55A3F"/>
        </w:tc>
        <w:tc>
          <w:tcPr>
            <w:tcW w:w="2433" w:type="dxa"/>
            <w:tcBorders>
              <w:bottom w:val="single" w:sz="8" w:space="0" w:color="000000"/>
              <w:right w:val="single" w:sz="8" w:space="0" w:color="000000"/>
            </w:tcBorders>
            <w:tcMar>
              <w:top w:w="100" w:type="dxa"/>
              <w:left w:w="100" w:type="dxa"/>
              <w:bottom w:w="100" w:type="dxa"/>
              <w:right w:w="100" w:type="dxa"/>
            </w:tcMar>
          </w:tcPr>
          <w:p w14:paraId="23AEA4D8" w14:textId="77777777" w:rsidR="00D55A3F" w:rsidRDefault="00D55A3F"/>
        </w:tc>
        <w:tc>
          <w:tcPr>
            <w:tcW w:w="2433" w:type="dxa"/>
            <w:tcBorders>
              <w:bottom w:val="single" w:sz="8" w:space="0" w:color="000000"/>
              <w:right w:val="single" w:sz="8" w:space="0" w:color="000000"/>
            </w:tcBorders>
            <w:tcMar>
              <w:top w:w="100" w:type="dxa"/>
              <w:left w:w="100" w:type="dxa"/>
              <w:bottom w:w="100" w:type="dxa"/>
              <w:right w:w="100" w:type="dxa"/>
            </w:tcMar>
          </w:tcPr>
          <w:p w14:paraId="7DF6AB56" w14:textId="77777777" w:rsidR="00D55A3F" w:rsidRDefault="00D55A3F"/>
        </w:tc>
      </w:tr>
    </w:tbl>
    <w:p w14:paraId="7019159C" w14:textId="77777777" w:rsidR="00785F44" w:rsidRDefault="00785F44"/>
    <w:p w14:paraId="0D5F0241" w14:textId="77777777" w:rsidR="00785F44" w:rsidRDefault="00000000">
      <w:pPr>
        <w:spacing w:after="200"/>
      </w:pPr>
      <w:r>
        <w:t xml:space="preserve"> </w:t>
      </w:r>
    </w:p>
    <w:tbl>
      <w:tblPr>
        <w:tblStyle w:val="a0"/>
        <w:tblW w:w="13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0"/>
        <w:gridCol w:w="7410"/>
      </w:tblGrid>
      <w:tr w:rsidR="00785F44" w14:paraId="46A7E856" w14:textId="77777777">
        <w:trPr>
          <w:trHeight w:val="1890"/>
        </w:trPr>
        <w:tc>
          <w:tcPr>
            <w:tcW w:w="6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84FC3" w14:textId="56A8BD23" w:rsidR="008E4E7F" w:rsidRPr="008E4E7F" w:rsidRDefault="00000000" w:rsidP="008E4E7F">
            <w:pPr>
              <w:jc w:val="center"/>
              <w:rPr>
                <w:b/>
              </w:rPr>
            </w:pPr>
            <w:r>
              <w:rPr>
                <w:b/>
              </w:rPr>
              <w:t>Acknowledgement</w:t>
            </w:r>
          </w:p>
          <w:p w14:paraId="5A6573D1"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color w:val="333333"/>
                <w:sz w:val="20"/>
                <w:szCs w:val="20"/>
              </w:rPr>
              <w:t>The Ohio Transfer 36 requires at least 3 semester hours of course credit in English Composition/Oral Communication. Use of the Ohio Transfer 36 Guidelines for English Composition was discontinued starting Fall 2012. All English Composition Ohio Transfer 36 courses approved under the guidelines were expired by Summer 2012 and replaced by First or Second Writing only when the course received an approval for either First or Second Writing.</w:t>
            </w:r>
          </w:p>
          <w:p w14:paraId="0118F132" w14:textId="77777777" w:rsidR="008E4E7F" w:rsidRPr="006259B4" w:rsidRDefault="008E4E7F" w:rsidP="008E4E7F">
            <w:pPr>
              <w:numPr>
                <w:ilvl w:val="0"/>
                <w:numId w:val="23"/>
              </w:numPr>
              <w:spacing w:before="100" w:beforeAutospacing="1" w:after="100" w:afterAutospacing="1" w:line="240" w:lineRule="auto"/>
              <w:rPr>
                <w:rFonts w:eastAsia="Times New Roman"/>
                <w:color w:val="333333"/>
                <w:sz w:val="20"/>
                <w:szCs w:val="20"/>
              </w:rPr>
            </w:pPr>
            <w:proofErr w:type="gramStart"/>
            <w:r w:rsidRPr="006259B4">
              <w:rPr>
                <w:rFonts w:eastAsia="Times New Roman"/>
                <w:color w:val="333333"/>
                <w:sz w:val="20"/>
                <w:szCs w:val="20"/>
              </w:rPr>
              <w:t>In order to</w:t>
            </w:r>
            <w:proofErr w:type="gramEnd"/>
            <w:r w:rsidRPr="006259B4">
              <w:rPr>
                <w:rFonts w:eastAsia="Times New Roman"/>
                <w:color w:val="333333"/>
                <w:sz w:val="20"/>
                <w:szCs w:val="20"/>
              </w:rPr>
              <w:t xml:space="preserve"> be considered for First Writing and Second Writing Ohio Transfer 36 courses, each institutional course </w:t>
            </w:r>
            <w:r w:rsidRPr="006259B4">
              <w:rPr>
                <w:rFonts w:eastAsia="Times New Roman"/>
                <w:color w:val="333333"/>
                <w:sz w:val="20"/>
                <w:szCs w:val="20"/>
              </w:rPr>
              <w:lastRenderedPageBreak/>
              <w:t>must meet all of the established learning outcomes. In addition, each set of learning outcomes has recommended credit hours, so that institutions will be able to design, match, and submit courses with a comparable and appropriate amount of credit to fulfill the learning outcomes. </w:t>
            </w:r>
          </w:p>
          <w:p w14:paraId="34E9BD98" w14:textId="77777777" w:rsidR="008E4E7F" w:rsidRPr="006259B4" w:rsidRDefault="008E4E7F" w:rsidP="008E4E7F">
            <w:pPr>
              <w:numPr>
                <w:ilvl w:val="0"/>
                <w:numId w:val="23"/>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First Writing and Second Writing Ohio Transfer 36 courses must focus on the teaching, practice, and evaluation of expository writing and argumentative writing, although the course(s) may include other components. This focus must be reflected in statements of course learning outcomes and evaluation.</w:t>
            </w:r>
          </w:p>
          <w:p w14:paraId="061B2D11" w14:textId="77777777" w:rsidR="008E4E7F" w:rsidRPr="006259B4" w:rsidRDefault="008E4E7F" w:rsidP="008E4E7F">
            <w:pPr>
              <w:numPr>
                <w:ilvl w:val="0"/>
                <w:numId w:val="23"/>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Transfer students who have completed the Ohio Transfer 36 will not be subjected to a diagnostic placement test at the receiving institution unless one is also required of native students who have completed equivalent coursework.</w:t>
            </w:r>
          </w:p>
          <w:p w14:paraId="5B9C90AC"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b/>
                <w:bCs/>
                <w:i/>
                <w:iCs/>
                <w:color w:val="333333"/>
                <w:sz w:val="20"/>
                <w:szCs w:val="20"/>
                <w:u w:val="single"/>
              </w:rPr>
              <w:t>Excluded courses</w:t>
            </w:r>
            <w:r w:rsidRPr="006259B4">
              <w:rPr>
                <w:rFonts w:eastAsia="Times New Roman"/>
                <w:b/>
                <w:bCs/>
                <w:color w:val="333333"/>
                <w:sz w:val="20"/>
                <w:szCs w:val="20"/>
                <w:u w:val="single"/>
              </w:rPr>
              <w:t>:</w:t>
            </w:r>
          </w:p>
          <w:p w14:paraId="2066EE1E" w14:textId="77777777" w:rsidR="008E4E7F" w:rsidRPr="006259B4" w:rsidRDefault="008E4E7F" w:rsidP="008E4E7F">
            <w:pPr>
              <w:numPr>
                <w:ilvl w:val="0"/>
                <w:numId w:val="24"/>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Remedial or developmental courses, special topics courses, narrowly focused courses, technical or pre-technical courses and skills-based courses.</w:t>
            </w:r>
          </w:p>
          <w:p w14:paraId="27C9A59B" w14:textId="77777777" w:rsidR="008E4E7F" w:rsidRPr="006259B4" w:rsidRDefault="008E4E7F" w:rsidP="008E4E7F">
            <w:pPr>
              <w:numPr>
                <w:ilvl w:val="0"/>
                <w:numId w:val="24"/>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Courses that focus exclusively on content coverage without addressing the learning outcomes for the Ohio Transfer 36.</w:t>
            </w:r>
          </w:p>
          <w:p w14:paraId="7DE2E154" w14:textId="77777777" w:rsidR="008E4E7F" w:rsidRPr="006259B4" w:rsidRDefault="008E4E7F" w:rsidP="008E4E7F">
            <w:pPr>
              <w:numPr>
                <w:ilvl w:val="0"/>
                <w:numId w:val="24"/>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Career preparation courses, non-credit continuing education courses, and life experience courses (unless life experience credit, such as military training or other prior learning experience, becomes approved in the future for an Ohio Transfer 36 credit by the statewide faculty review panel).</w:t>
            </w:r>
          </w:p>
          <w:p w14:paraId="03EB524C"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color w:val="333333"/>
                <w:sz w:val="20"/>
                <w:szCs w:val="20"/>
              </w:rPr>
              <w:t xml:space="preserve">Throughout the second course, students critically read scholarly texts, learn about conventions for academic writing, and practice writing for various rhetorical situations. At some schools, students explore what “good writing” is as they learn about the different </w:t>
            </w:r>
            <w:r w:rsidRPr="006259B4">
              <w:rPr>
                <w:rFonts w:eastAsia="Times New Roman"/>
                <w:color w:val="333333"/>
                <w:sz w:val="20"/>
                <w:szCs w:val="20"/>
              </w:rPr>
              <w:lastRenderedPageBreak/>
              <w:t>discourse conventions privileged by various academic disciplines; such courses are typically offered by the English department. At other schools, students explore what “good writing” is in one specific academic discipline; such courses may be taught by the English department, taught by another academic department, or team-taught by English faculty and faculty in another academic department. Regardless of the approach to the second course, the focus of the course must be </w:t>
            </w:r>
            <w:r w:rsidRPr="006259B4">
              <w:rPr>
                <w:rFonts w:eastAsia="Times New Roman"/>
                <w:i/>
                <w:iCs/>
                <w:color w:val="333333"/>
                <w:sz w:val="20"/>
                <w:szCs w:val="20"/>
              </w:rPr>
              <w:t>writing</w:t>
            </w:r>
            <w:r w:rsidRPr="006259B4">
              <w:rPr>
                <w:rFonts w:eastAsia="Times New Roman"/>
                <w:color w:val="333333"/>
                <w:sz w:val="20"/>
                <w:szCs w:val="20"/>
              </w:rPr>
              <w:t>, and students must be given opportunities to revise, reflect, and get personal feedback on their written work.</w:t>
            </w:r>
          </w:p>
          <w:p w14:paraId="75C0EDF8"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color w:val="333333"/>
                <w:sz w:val="20"/>
                <w:szCs w:val="20"/>
              </w:rPr>
              <w:t>Minimal Course Requirements</w:t>
            </w:r>
          </w:p>
          <w:p w14:paraId="0576446D"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i/>
                <w:iCs/>
                <w:color w:val="333333"/>
                <w:sz w:val="20"/>
                <w:szCs w:val="20"/>
              </w:rPr>
              <w:t xml:space="preserve">Students must compose a substantial amount and variety of work </w:t>
            </w:r>
            <w:proofErr w:type="gramStart"/>
            <w:r w:rsidRPr="006259B4">
              <w:rPr>
                <w:rFonts w:eastAsia="Times New Roman"/>
                <w:i/>
                <w:iCs/>
                <w:color w:val="333333"/>
                <w:sz w:val="20"/>
                <w:szCs w:val="20"/>
              </w:rPr>
              <w:t>in order to</w:t>
            </w:r>
            <w:proofErr w:type="gramEnd"/>
            <w:r w:rsidRPr="006259B4">
              <w:rPr>
                <w:rFonts w:eastAsia="Times New Roman"/>
                <w:i/>
                <w:iCs/>
                <w:color w:val="333333"/>
                <w:sz w:val="20"/>
                <w:szCs w:val="20"/>
              </w:rPr>
              <w:t xml:space="preserve"> demonstrate that they have met the learning outcomes for the second course.</w:t>
            </w:r>
          </w:p>
          <w:p w14:paraId="252BAA7E" w14:textId="77777777" w:rsidR="008E4E7F" w:rsidRPr="006259B4" w:rsidRDefault="008E4E7F" w:rsidP="008E4E7F">
            <w:pPr>
              <w:spacing w:before="100" w:beforeAutospacing="1" w:after="100" w:afterAutospacing="1"/>
              <w:rPr>
                <w:rFonts w:eastAsia="Times New Roman"/>
                <w:color w:val="333333"/>
                <w:sz w:val="20"/>
                <w:szCs w:val="20"/>
              </w:rPr>
            </w:pPr>
            <w:r w:rsidRPr="006259B4">
              <w:rPr>
                <w:rFonts w:eastAsia="Times New Roman"/>
                <w:b/>
                <w:bCs/>
                <w:color w:val="333333"/>
                <w:sz w:val="20"/>
                <w:szCs w:val="20"/>
              </w:rPr>
              <w:t>In the second writing course, students will again engage in both writing-to-learn and learning-to-write activities. To that end, they will </w:t>
            </w:r>
          </w:p>
          <w:p w14:paraId="173873A6" w14:textId="77777777" w:rsidR="008E4E7F" w:rsidRPr="006259B4" w:rsidRDefault="008E4E7F" w:rsidP="008E4E7F">
            <w:pPr>
              <w:numPr>
                <w:ilvl w:val="0"/>
                <w:numId w:val="25"/>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Compose a variety of texts with opportunities for revision and response. </w:t>
            </w:r>
          </w:p>
          <w:p w14:paraId="6BB972E8" w14:textId="77777777" w:rsidR="008E4E7F" w:rsidRPr="006259B4" w:rsidRDefault="008E4E7F" w:rsidP="008E4E7F">
            <w:pPr>
              <w:numPr>
                <w:ilvl w:val="0"/>
                <w:numId w:val="25"/>
              </w:numPr>
              <w:spacing w:before="100" w:beforeAutospacing="1" w:after="100" w:afterAutospacing="1" w:line="240" w:lineRule="auto"/>
              <w:rPr>
                <w:rFonts w:eastAsia="Times New Roman"/>
                <w:color w:val="333333"/>
                <w:sz w:val="20"/>
                <w:szCs w:val="20"/>
              </w:rPr>
            </w:pPr>
            <w:r w:rsidRPr="006259B4">
              <w:rPr>
                <w:rFonts w:eastAsia="Times New Roman"/>
                <w:color w:val="333333"/>
                <w:sz w:val="20"/>
                <w:szCs w:val="20"/>
              </w:rPr>
              <w:t>Produce a minimum of 5000 total words of text that has been revised and copyedited for applicable rhetorical situations. Multimodal texts may be included as part of the overall body of work students produce in the course.   </w:t>
            </w:r>
          </w:p>
          <w:p w14:paraId="694F8F4F" w14:textId="447A12AF" w:rsidR="00785F44" w:rsidRPr="00B87D47" w:rsidRDefault="008E4E7F" w:rsidP="008E4E7F">
            <w:pPr>
              <w:pStyle w:val="ListParagraph"/>
              <w:numPr>
                <w:ilvl w:val="0"/>
                <w:numId w:val="16"/>
              </w:numPr>
              <w:spacing w:before="240"/>
              <w:rPr>
                <w:color w:val="333333"/>
              </w:rPr>
            </w:pPr>
            <w:r w:rsidRPr="006259B4">
              <w:rPr>
                <w:rFonts w:eastAsia="Times New Roman"/>
                <w:color w:val="333333"/>
                <w:sz w:val="20"/>
                <w:szCs w:val="20"/>
              </w:rPr>
              <w:t>Complete frequent low-stakes or writing-to-learn activities such as single-draft reading responses, journals, and in-class efforts, as well as discovery drafts. </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39C52F" w14:textId="6BFA36AA" w:rsidR="00785F44" w:rsidRPr="0067223D" w:rsidRDefault="00000000" w:rsidP="0067223D">
            <w:pPr>
              <w:pStyle w:val="ListParagraph"/>
              <w:numPr>
                <w:ilvl w:val="3"/>
                <w:numId w:val="4"/>
              </w:numPr>
              <w:spacing w:before="240" w:after="240"/>
              <w:rPr>
                <w:b/>
                <w:color w:val="333333"/>
              </w:rPr>
            </w:pPr>
            <w:r w:rsidRPr="0067223D">
              <w:rPr>
                <w:b/>
                <w:color w:val="333333"/>
              </w:rPr>
              <w:lastRenderedPageBreak/>
              <w:t xml:space="preserve">Please acknowledge that you have read the guidelines for types of courses approved for and excluded from the </w:t>
            </w:r>
            <w:r w:rsidR="00B87D47">
              <w:rPr>
                <w:b/>
                <w:color w:val="333333"/>
              </w:rPr>
              <w:t>Second</w:t>
            </w:r>
            <w:r w:rsidR="00625267">
              <w:rPr>
                <w:b/>
                <w:color w:val="333333"/>
              </w:rPr>
              <w:t xml:space="preserve"> Writing</w:t>
            </w:r>
            <w:r w:rsidRPr="0067223D">
              <w:rPr>
                <w:b/>
                <w:color w:val="333333"/>
              </w:rPr>
              <w:t xml:space="preserve"> category of Ohio Transfer 36. </w:t>
            </w:r>
          </w:p>
          <w:p w14:paraId="5204CF41" w14:textId="4A517509" w:rsidR="0067223D" w:rsidRPr="0067223D" w:rsidRDefault="0067223D" w:rsidP="0067223D">
            <w:pPr>
              <w:pStyle w:val="NormalWeb"/>
              <w:numPr>
                <w:ilvl w:val="3"/>
                <w:numId w:val="4"/>
              </w:numPr>
              <w:spacing w:before="0" w:beforeAutospacing="0" w:after="160" w:afterAutospacing="0"/>
              <w:rPr>
                <w:rFonts w:ascii="Arial" w:hAnsi="Arial" w:cs="Arial"/>
                <w:b/>
                <w:sz w:val="22"/>
                <w:szCs w:val="22"/>
              </w:rPr>
            </w:pPr>
            <w:r w:rsidRPr="0067223D">
              <w:rPr>
                <w:rFonts w:ascii="Arial" w:hAnsi="Arial" w:cs="Arial"/>
                <w:b/>
                <w:sz w:val="22"/>
                <w:szCs w:val="22"/>
              </w:rPr>
              <w:t xml:space="preserve">In addition, please acknowledge that the faculty member(s) and/or Ohio Transfer 36 Coordinator(s) preparing this submission have reviewed the </w:t>
            </w:r>
            <w:r w:rsidRPr="0067223D">
              <w:rPr>
                <w:rFonts w:ascii="Arial" w:hAnsi="Arial" w:cs="Arial"/>
                <w:b/>
                <w:color w:val="000000"/>
                <w:sz w:val="22"/>
                <w:szCs w:val="22"/>
              </w:rPr>
              <w:t xml:space="preserve">Ohio Transfer 36 Guidance Document for the discipline area of </w:t>
            </w:r>
            <w:r w:rsidR="00B87D47">
              <w:rPr>
                <w:rFonts w:ascii="Arial" w:hAnsi="Arial" w:cs="Arial"/>
                <w:b/>
                <w:color w:val="000000"/>
                <w:sz w:val="22"/>
                <w:szCs w:val="22"/>
              </w:rPr>
              <w:t>Second</w:t>
            </w:r>
            <w:r w:rsidR="00625267">
              <w:rPr>
                <w:rFonts w:ascii="Arial" w:hAnsi="Arial" w:cs="Arial"/>
                <w:b/>
                <w:color w:val="000000"/>
                <w:sz w:val="22"/>
                <w:szCs w:val="22"/>
              </w:rPr>
              <w:t xml:space="preserve"> Writing</w:t>
            </w:r>
            <w:r w:rsidRPr="0067223D">
              <w:rPr>
                <w:rFonts w:ascii="Arial" w:hAnsi="Arial" w:cs="Arial"/>
                <w:b/>
                <w:sz w:val="22"/>
                <w:szCs w:val="22"/>
              </w:rPr>
              <w:t xml:space="preserve"> and adhered to outlined guidance prior to course submission. </w:t>
            </w:r>
          </w:p>
          <w:p w14:paraId="3C488F22" w14:textId="77777777" w:rsidR="00785F44" w:rsidRPr="0067223D" w:rsidRDefault="00785F44">
            <w:pPr>
              <w:spacing w:before="240" w:after="240"/>
              <w:rPr>
                <w:b/>
                <w:color w:val="333333"/>
              </w:rPr>
            </w:pPr>
          </w:p>
        </w:tc>
      </w:tr>
    </w:tbl>
    <w:p w14:paraId="2C301971" w14:textId="3E05C19D" w:rsidR="00785F44" w:rsidRDefault="00000000" w:rsidP="00210E77">
      <w:pPr>
        <w:spacing w:after="200"/>
      </w:pPr>
      <w:r>
        <w:lastRenderedPageBreak/>
        <w:t xml:space="preserve"> </w:t>
      </w:r>
    </w:p>
    <w:sectPr w:rsidR="00785F44">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AE1"/>
    <w:multiLevelType w:val="hybridMultilevel"/>
    <w:tmpl w:val="96A49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5184F"/>
    <w:multiLevelType w:val="multilevel"/>
    <w:tmpl w:val="90A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D2759"/>
    <w:multiLevelType w:val="multilevel"/>
    <w:tmpl w:val="CBECABBE"/>
    <w:lvl w:ilvl="0">
      <w:start w:val="1"/>
      <w:numFmt w:val="bullet"/>
      <w:lvlText w:val=""/>
      <w:lvlJc w:val="left"/>
      <w:pPr>
        <w:ind w:left="117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610" w:hanging="360"/>
      </w:pPr>
      <w:rPr>
        <w:strike w:val="0"/>
        <w:dstrike w:val="0"/>
        <w:u w:val="none"/>
        <w:effect w:val="none"/>
      </w:rPr>
    </w:lvl>
    <w:lvl w:ilvl="3">
      <w:start w:val="1"/>
      <w:numFmt w:val="bullet"/>
      <w:lvlText w:val="●"/>
      <w:lvlJc w:val="left"/>
      <w:pPr>
        <w:ind w:left="3330" w:hanging="360"/>
      </w:pPr>
      <w:rPr>
        <w:strike w:val="0"/>
        <w:dstrike w:val="0"/>
        <w:u w:val="none"/>
        <w:effect w:val="none"/>
      </w:rPr>
    </w:lvl>
    <w:lvl w:ilvl="4">
      <w:start w:val="1"/>
      <w:numFmt w:val="bullet"/>
      <w:lvlText w:val="○"/>
      <w:lvlJc w:val="left"/>
      <w:pPr>
        <w:ind w:left="4050" w:hanging="360"/>
      </w:pPr>
      <w:rPr>
        <w:strike w:val="0"/>
        <w:dstrike w:val="0"/>
        <w:u w:val="none"/>
        <w:effect w:val="none"/>
      </w:rPr>
    </w:lvl>
    <w:lvl w:ilvl="5">
      <w:start w:val="1"/>
      <w:numFmt w:val="bullet"/>
      <w:lvlText w:val="■"/>
      <w:lvlJc w:val="left"/>
      <w:pPr>
        <w:ind w:left="4770" w:hanging="360"/>
      </w:pPr>
      <w:rPr>
        <w:strike w:val="0"/>
        <w:dstrike w:val="0"/>
        <w:u w:val="none"/>
        <w:effect w:val="none"/>
      </w:rPr>
    </w:lvl>
    <w:lvl w:ilvl="6">
      <w:start w:val="1"/>
      <w:numFmt w:val="bullet"/>
      <w:lvlText w:val="●"/>
      <w:lvlJc w:val="left"/>
      <w:pPr>
        <w:ind w:left="5490" w:hanging="360"/>
      </w:pPr>
      <w:rPr>
        <w:strike w:val="0"/>
        <w:dstrike w:val="0"/>
        <w:u w:val="none"/>
        <w:effect w:val="none"/>
      </w:rPr>
    </w:lvl>
    <w:lvl w:ilvl="7">
      <w:start w:val="1"/>
      <w:numFmt w:val="bullet"/>
      <w:lvlText w:val="○"/>
      <w:lvlJc w:val="left"/>
      <w:pPr>
        <w:ind w:left="6210" w:hanging="360"/>
      </w:pPr>
      <w:rPr>
        <w:strike w:val="0"/>
        <w:dstrike w:val="0"/>
        <w:u w:val="none"/>
        <w:effect w:val="none"/>
      </w:rPr>
    </w:lvl>
    <w:lvl w:ilvl="8">
      <w:start w:val="1"/>
      <w:numFmt w:val="bullet"/>
      <w:lvlText w:val="■"/>
      <w:lvlJc w:val="left"/>
      <w:pPr>
        <w:ind w:left="6930" w:hanging="360"/>
      </w:pPr>
      <w:rPr>
        <w:strike w:val="0"/>
        <w:dstrike w:val="0"/>
        <w:u w:val="none"/>
        <w:effect w:val="none"/>
      </w:rPr>
    </w:lvl>
  </w:abstractNum>
  <w:abstractNum w:abstractNumId="3" w15:restartNumberingAfterBreak="0">
    <w:nsid w:val="10BE7478"/>
    <w:multiLevelType w:val="multilevel"/>
    <w:tmpl w:val="E1AE6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37774D7"/>
    <w:multiLevelType w:val="multilevel"/>
    <w:tmpl w:val="AFD4E850"/>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5FA5465"/>
    <w:multiLevelType w:val="multilevel"/>
    <w:tmpl w:val="10001F20"/>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76B2828"/>
    <w:multiLevelType w:val="multilevel"/>
    <w:tmpl w:val="859E6E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10047A6"/>
    <w:multiLevelType w:val="multilevel"/>
    <w:tmpl w:val="D1CAC3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293D4ABD"/>
    <w:multiLevelType w:val="hybridMultilevel"/>
    <w:tmpl w:val="121E5972"/>
    <w:lvl w:ilvl="0" w:tplc="0409000F">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45271"/>
    <w:multiLevelType w:val="hybridMultilevel"/>
    <w:tmpl w:val="DD06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25799"/>
    <w:multiLevelType w:val="multilevel"/>
    <w:tmpl w:val="D70C7E0C"/>
    <w:lvl w:ilvl="0">
      <w:start w:val="1"/>
      <w:numFmt w:val="bullet"/>
      <w:lvlText w:val=""/>
      <w:lvlJc w:val="left"/>
      <w:pPr>
        <w:ind w:left="1260" w:hanging="360"/>
      </w:pPr>
      <w:rPr>
        <w:rFonts w:ascii="Symbol" w:hAnsi="Symbol" w:hint="default"/>
        <w:strike w:val="0"/>
        <w:dstrike w:val="0"/>
        <w:u w:val="none"/>
        <w:effect w:val="none"/>
      </w:rPr>
    </w:lvl>
    <w:lvl w:ilvl="1">
      <w:start w:val="1"/>
      <w:numFmt w:val="bullet"/>
      <w:lvlText w:val="○"/>
      <w:lvlJc w:val="left"/>
      <w:pPr>
        <w:ind w:left="1980" w:hanging="360"/>
      </w:pPr>
      <w:rPr>
        <w:strike w:val="0"/>
        <w:dstrike w:val="0"/>
        <w:u w:val="none"/>
        <w:effect w:val="none"/>
      </w:rPr>
    </w:lvl>
    <w:lvl w:ilvl="2">
      <w:start w:val="1"/>
      <w:numFmt w:val="bullet"/>
      <w:lvlText w:val="■"/>
      <w:lvlJc w:val="left"/>
      <w:pPr>
        <w:ind w:left="2700" w:hanging="360"/>
      </w:pPr>
      <w:rPr>
        <w:strike w:val="0"/>
        <w:dstrike w:val="0"/>
        <w:u w:val="none"/>
        <w:effect w:val="none"/>
      </w:rPr>
    </w:lvl>
    <w:lvl w:ilvl="3">
      <w:start w:val="1"/>
      <w:numFmt w:val="bullet"/>
      <w:lvlText w:val="●"/>
      <w:lvlJc w:val="left"/>
      <w:pPr>
        <w:ind w:left="3420" w:hanging="360"/>
      </w:pPr>
      <w:rPr>
        <w:strike w:val="0"/>
        <w:dstrike w:val="0"/>
        <w:u w:val="none"/>
        <w:effect w:val="none"/>
      </w:rPr>
    </w:lvl>
    <w:lvl w:ilvl="4">
      <w:start w:val="1"/>
      <w:numFmt w:val="bullet"/>
      <w:lvlText w:val="○"/>
      <w:lvlJc w:val="left"/>
      <w:pPr>
        <w:ind w:left="4140" w:hanging="360"/>
      </w:pPr>
      <w:rPr>
        <w:strike w:val="0"/>
        <w:dstrike w:val="0"/>
        <w:u w:val="none"/>
        <w:effect w:val="none"/>
      </w:rPr>
    </w:lvl>
    <w:lvl w:ilvl="5">
      <w:start w:val="1"/>
      <w:numFmt w:val="bullet"/>
      <w:lvlText w:val="■"/>
      <w:lvlJc w:val="left"/>
      <w:pPr>
        <w:ind w:left="4860" w:hanging="360"/>
      </w:pPr>
      <w:rPr>
        <w:strike w:val="0"/>
        <w:dstrike w:val="0"/>
        <w:u w:val="none"/>
        <w:effect w:val="none"/>
      </w:rPr>
    </w:lvl>
    <w:lvl w:ilvl="6">
      <w:start w:val="1"/>
      <w:numFmt w:val="bullet"/>
      <w:lvlText w:val="●"/>
      <w:lvlJc w:val="left"/>
      <w:pPr>
        <w:ind w:left="5580" w:hanging="360"/>
      </w:pPr>
      <w:rPr>
        <w:strike w:val="0"/>
        <w:dstrike w:val="0"/>
        <w:u w:val="none"/>
        <w:effect w:val="none"/>
      </w:rPr>
    </w:lvl>
    <w:lvl w:ilvl="7">
      <w:start w:val="1"/>
      <w:numFmt w:val="bullet"/>
      <w:lvlText w:val="○"/>
      <w:lvlJc w:val="left"/>
      <w:pPr>
        <w:ind w:left="6300" w:hanging="360"/>
      </w:pPr>
      <w:rPr>
        <w:strike w:val="0"/>
        <w:dstrike w:val="0"/>
        <w:u w:val="none"/>
        <w:effect w:val="none"/>
      </w:rPr>
    </w:lvl>
    <w:lvl w:ilvl="8">
      <w:start w:val="1"/>
      <w:numFmt w:val="bullet"/>
      <w:lvlText w:val="■"/>
      <w:lvlJc w:val="left"/>
      <w:pPr>
        <w:ind w:left="7020" w:hanging="360"/>
      </w:pPr>
      <w:rPr>
        <w:strike w:val="0"/>
        <w:dstrike w:val="0"/>
        <w:u w:val="none"/>
        <w:effect w:val="none"/>
      </w:rPr>
    </w:lvl>
  </w:abstractNum>
  <w:abstractNum w:abstractNumId="11" w15:restartNumberingAfterBreak="0">
    <w:nsid w:val="403F6508"/>
    <w:multiLevelType w:val="multilevel"/>
    <w:tmpl w:val="1340CBE0"/>
    <w:lvl w:ilvl="0">
      <w:start w:val="1"/>
      <w:numFmt w:val="bullet"/>
      <w:lvlText w:val=""/>
      <w:lvlJc w:val="left"/>
      <w:pPr>
        <w:ind w:left="1170" w:hanging="360"/>
      </w:pPr>
      <w:rPr>
        <w:rFonts w:ascii="Symbol" w:hAnsi="Symbol" w:hint="default"/>
        <w:strike w:val="0"/>
        <w:dstrike w:val="0"/>
        <w:u w:val="none"/>
        <w:effect w:val="none"/>
      </w:rPr>
    </w:lvl>
    <w:lvl w:ilvl="1">
      <w:start w:val="1"/>
      <w:numFmt w:val="bullet"/>
      <w:lvlText w:val="○"/>
      <w:lvlJc w:val="left"/>
      <w:pPr>
        <w:ind w:left="1890" w:hanging="360"/>
      </w:pPr>
      <w:rPr>
        <w:strike w:val="0"/>
        <w:dstrike w:val="0"/>
        <w:u w:val="none"/>
        <w:effect w:val="none"/>
      </w:rPr>
    </w:lvl>
    <w:lvl w:ilvl="2">
      <w:start w:val="1"/>
      <w:numFmt w:val="bullet"/>
      <w:lvlText w:val="■"/>
      <w:lvlJc w:val="left"/>
      <w:pPr>
        <w:ind w:left="2610" w:hanging="360"/>
      </w:pPr>
      <w:rPr>
        <w:strike w:val="0"/>
        <w:dstrike w:val="0"/>
        <w:u w:val="none"/>
        <w:effect w:val="none"/>
      </w:rPr>
    </w:lvl>
    <w:lvl w:ilvl="3">
      <w:start w:val="1"/>
      <w:numFmt w:val="bullet"/>
      <w:lvlText w:val="●"/>
      <w:lvlJc w:val="left"/>
      <w:pPr>
        <w:ind w:left="3330" w:hanging="360"/>
      </w:pPr>
      <w:rPr>
        <w:strike w:val="0"/>
        <w:dstrike w:val="0"/>
        <w:u w:val="none"/>
        <w:effect w:val="none"/>
      </w:rPr>
    </w:lvl>
    <w:lvl w:ilvl="4">
      <w:start w:val="1"/>
      <w:numFmt w:val="bullet"/>
      <w:lvlText w:val="○"/>
      <w:lvlJc w:val="left"/>
      <w:pPr>
        <w:ind w:left="4050" w:hanging="360"/>
      </w:pPr>
      <w:rPr>
        <w:strike w:val="0"/>
        <w:dstrike w:val="0"/>
        <w:u w:val="none"/>
        <w:effect w:val="none"/>
      </w:rPr>
    </w:lvl>
    <w:lvl w:ilvl="5">
      <w:start w:val="1"/>
      <w:numFmt w:val="bullet"/>
      <w:lvlText w:val="■"/>
      <w:lvlJc w:val="left"/>
      <w:pPr>
        <w:ind w:left="4770" w:hanging="360"/>
      </w:pPr>
      <w:rPr>
        <w:strike w:val="0"/>
        <w:dstrike w:val="0"/>
        <w:u w:val="none"/>
        <w:effect w:val="none"/>
      </w:rPr>
    </w:lvl>
    <w:lvl w:ilvl="6">
      <w:start w:val="1"/>
      <w:numFmt w:val="bullet"/>
      <w:lvlText w:val="●"/>
      <w:lvlJc w:val="left"/>
      <w:pPr>
        <w:ind w:left="5490" w:hanging="360"/>
      </w:pPr>
      <w:rPr>
        <w:strike w:val="0"/>
        <w:dstrike w:val="0"/>
        <w:u w:val="none"/>
        <w:effect w:val="none"/>
      </w:rPr>
    </w:lvl>
    <w:lvl w:ilvl="7">
      <w:start w:val="1"/>
      <w:numFmt w:val="bullet"/>
      <w:lvlText w:val="○"/>
      <w:lvlJc w:val="left"/>
      <w:pPr>
        <w:ind w:left="6210" w:hanging="360"/>
      </w:pPr>
      <w:rPr>
        <w:strike w:val="0"/>
        <w:dstrike w:val="0"/>
        <w:u w:val="none"/>
        <w:effect w:val="none"/>
      </w:rPr>
    </w:lvl>
    <w:lvl w:ilvl="8">
      <w:start w:val="1"/>
      <w:numFmt w:val="bullet"/>
      <w:lvlText w:val="■"/>
      <w:lvlJc w:val="left"/>
      <w:pPr>
        <w:ind w:left="6930" w:hanging="360"/>
      </w:pPr>
      <w:rPr>
        <w:strike w:val="0"/>
        <w:dstrike w:val="0"/>
        <w:u w:val="none"/>
        <w:effect w:val="none"/>
      </w:rPr>
    </w:lvl>
  </w:abstractNum>
  <w:abstractNum w:abstractNumId="12" w15:restartNumberingAfterBreak="0">
    <w:nsid w:val="40DD2132"/>
    <w:multiLevelType w:val="multilevel"/>
    <w:tmpl w:val="4E64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A648B"/>
    <w:multiLevelType w:val="multilevel"/>
    <w:tmpl w:val="D7F21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56278C8"/>
    <w:multiLevelType w:val="multilevel"/>
    <w:tmpl w:val="AE7E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02ED3"/>
    <w:multiLevelType w:val="multilevel"/>
    <w:tmpl w:val="B3CC2BF4"/>
    <w:lvl w:ilvl="0">
      <w:start w:val="1"/>
      <w:numFmt w:val="bullet"/>
      <w:lvlText w:val=""/>
      <w:lvlJc w:val="left"/>
      <w:pPr>
        <w:ind w:left="1350" w:hanging="360"/>
      </w:pPr>
      <w:rPr>
        <w:rFonts w:ascii="Symbol" w:hAnsi="Symbol" w:hint="default"/>
        <w:strike w:val="0"/>
        <w:dstrike w:val="0"/>
        <w:u w:val="none"/>
        <w:effect w:val="none"/>
      </w:rPr>
    </w:lvl>
    <w:lvl w:ilvl="1">
      <w:start w:val="1"/>
      <w:numFmt w:val="bullet"/>
      <w:lvlText w:val="○"/>
      <w:lvlJc w:val="left"/>
      <w:pPr>
        <w:ind w:left="2070" w:hanging="360"/>
      </w:pPr>
      <w:rPr>
        <w:strike w:val="0"/>
        <w:dstrike w:val="0"/>
        <w:u w:val="none"/>
        <w:effect w:val="none"/>
      </w:rPr>
    </w:lvl>
    <w:lvl w:ilvl="2">
      <w:start w:val="1"/>
      <w:numFmt w:val="bullet"/>
      <w:lvlText w:val="■"/>
      <w:lvlJc w:val="left"/>
      <w:pPr>
        <w:ind w:left="2790" w:hanging="360"/>
      </w:pPr>
      <w:rPr>
        <w:strike w:val="0"/>
        <w:dstrike w:val="0"/>
        <w:u w:val="none"/>
        <w:effect w:val="none"/>
      </w:rPr>
    </w:lvl>
    <w:lvl w:ilvl="3">
      <w:start w:val="1"/>
      <w:numFmt w:val="bullet"/>
      <w:lvlText w:val="●"/>
      <w:lvlJc w:val="left"/>
      <w:pPr>
        <w:ind w:left="3510" w:hanging="360"/>
      </w:pPr>
      <w:rPr>
        <w:strike w:val="0"/>
        <w:dstrike w:val="0"/>
        <w:u w:val="none"/>
        <w:effect w:val="none"/>
      </w:rPr>
    </w:lvl>
    <w:lvl w:ilvl="4">
      <w:start w:val="1"/>
      <w:numFmt w:val="bullet"/>
      <w:lvlText w:val="○"/>
      <w:lvlJc w:val="left"/>
      <w:pPr>
        <w:ind w:left="4230" w:hanging="360"/>
      </w:pPr>
      <w:rPr>
        <w:strike w:val="0"/>
        <w:dstrike w:val="0"/>
        <w:u w:val="none"/>
        <w:effect w:val="none"/>
      </w:rPr>
    </w:lvl>
    <w:lvl w:ilvl="5">
      <w:start w:val="1"/>
      <w:numFmt w:val="bullet"/>
      <w:lvlText w:val="■"/>
      <w:lvlJc w:val="left"/>
      <w:pPr>
        <w:ind w:left="4950" w:hanging="360"/>
      </w:pPr>
      <w:rPr>
        <w:strike w:val="0"/>
        <w:dstrike w:val="0"/>
        <w:u w:val="none"/>
        <w:effect w:val="none"/>
      </w:rPr>
    </w:lvl>
    <w:lvl w:ilvl="6">
      <w:start w:val="1"/>
      <w:numFmt w:val="bullet"/>
      <w:lvlText w:val="●"/>
      <w:lvlJc w:val="left"/>
      <w:pPr>
        <w:ind w:left="5670" w:hanging="360"/>
      </w:pPr>
      <w:rPr>
        <w:strike w:val="0"/>
        <w:dstrike w:val="0"/>
        <w:u w:val="none"/>
        <w:effect w:val="none"/>
      </w:rPr>
    </w:lvl>
    <w:lvl w:ilvl="7">
      <w:start w:val="1"/>
      <w:numFmt w:val="bullet"/>
      <w:lvlText w:val="○"/>
      <w:lvlJc w:val="left"/>
      <w:pPr>
        <w:ind w:left="6390" w:hanging="360"/>
      </w:pPr>
      <w:rPr>
        <w:strike w:val="0"/>
        <w:dstrike w:val="0"/>
        <w:u w:val="none"/>
        <w:effect w:val="none"/>
      </w:rPr>
    </w:lvl>
    <w:lvl w:ilvl="8">
      <w:start w:val="1"/>
      <w:numFmt w:val="bullet"/>
      <w:lvlText w:val="■"/>
      <w:lvlJc w:val="left"/>
      <w:pPr>
        <w:ind w:left="7110" w:hanging="360"/>
      </w:pPr>
      <w:rPr>
        <w:strike w:val="0"/>
        <w:dstrike w:val="0"/>
        <w:u w:val="none"/>
        <w:effect w:val="none"/>
      </w:rPr>
    </w:lvl>
  </w:abstractNum>
  <w:abstractNum w:abstractNumId="16" w15:restartNumberingAfterBreak="0">
    <w:nsid w:val="4F5368B7"/>
    <w:multiLevelType w:val="hybridMultilevel"/>
    <w:tmpl w:val="02BA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A6252"/>
    <w:multiLevelType w:val="hybridMultilevel"/>
    <w:tmpl w:val="5E2667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A84085"/>
    <w:multiLevelType w:val="multilevel"/>
    <w:tmpl w:val="FCF28D62"/>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2FE1359"/>
    <w:multiLevelType w:val="multilevel"/>
    <w:tmpl w:val="E78EF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543D005E"/>
    <w:multiLevelType w:val="hybridMultilevel"/>
    <w:tmpl w:val="7836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6219D"/>
    <w:multiLevelType w:val="multilevel"/>
    <w:tmpl w:val="D7D805E2"/>
    <w:lvl w:ilvl="0">
      <w:start w:val="1"/>
      <w:numFmt w:val="bullet"/>
      <w:lvlText w:val=""/>
      <w:lvlJc w:val="left"/>
      <w:pPr>
        <w:ind w:left="108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5CED3F99"/>
    <w:multiLevelType w:val="hybridMultilevel"/>
    <w:tmpl w:val="2BBE6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0A7798"/>
    <w:multiLevelType w:val="hybridMultilevel"/>
    <w:tmpl w:val="87FA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25A50"/>
    <w:multiLevelType w:val="hybridMultilevel"/>
    <w:tmpl w:val="D2F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77285">
    <w:abstractNumId w:val="6"/>
  </w:num>
  <w:num w:numId="2" w16cid:durableId="1859998896">
    <w:abstractNumId w:val="19"/>
  </w:num>
  <w:num w:numId="3" w16cid:durableId="700521036">
    <w:abstractNumId w:val="3"/>
  </w:num>
  <w:num w:numId="4" w16cid:durableId="2016035832">
    <w:abstractNumId w:val="7"/>
  </w:num>
  <w:num w:numId="5" w16cid:durableId="312762510">
    <w:abstractNumId w:val="13"/>
  </w:num>
  <w:num w:numId="6" w16cid:durableId="368188730">
    <w:abstractNumId w:val="24"/>
  </w:num>
  <w:num w:numId="7" w16cid:durableId="1953517531">
    <w:abstractNumId w:val="9"/>
  </w:num>
  <w:num w:numId="8" w16cid:durableId="581912202">
    <w:abstractNumId w:val="16"/>
  </w:num>
  <w:num w:numId="9" w16cid:durableId="1784108537">
    <w:abstractNumId w:val="17"/>
  </w:num>
  <w:num w:numId="10" w16cid:durableId="90585054">
    <w:abstractNumId w:val="4"/>
  </w:num>
  <w:num w:numId="11" w16cid:durableId="1983541481">
    <w:abstractNumId w:val="0"/>
  </w:num>
  <w:num w:numId="12" w16cid:durableId="181090631">
    <w:abstractNumId w:val="5"/>
  </w:num>
  <w:num w:numId="13" w16cid:durableId="1286353432">
    <w:abstractNumId w:val="21"/>
  </w:num>
  <w:num w:numId="14" w16cid:durableId="1088890661">
    <w:abstractNumId w:val="18"/>
  </w:num>
  <w:num w:numId="15" w16cid:durableId="1010646622">
    <w:abstractNumId w:val="23"/>
  </w:num>
  <w:num w:numId="16" w16cid:durableId="666634969">
    <w:abstractNumId w:val="20"/>
  </w:num>
  <w:num w:numId="17" w16cid:durableId="1956018094">
    <w:abstractNumId w:val="11"/>
  </w:num>
  <w:num w:numId="18" w16cid:durableId="501047940">
    <w:abstractNumId w:val="8"/>
  </w:num>
  <w:num w:numId="19" w16cid:durableId="210387685">
    <w:abstractNumId w:val="2"/>
  </w:num>
  <w:num w:numId="20" w16cid:durableId="328867463">
    <w:abstractNumId w:val="10"/>
  </w:num>
  <w:num w:numId="21" w16cid:durableId="1205169130">
    <w:abstractNumId w:val="15"/>
  </w:num>
  <w:num w:numId="22" w16cid:durableId="1151557075">
    <w:abstractNumId w:val="22"/>
  </w:num>
  <w:num w:numId="23" w16cid:durableId="782269077">
    <w:abstractNumId w:val="1"/>
  </w:num>
  <w:num w:numId="24" w16cid:durableId="1826239946">
    <w:abstractNumId w:val="12"/>
  </w:num>
  <w:num w:numId="25" w16cid:durableId="1311594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4"/>
    <w:rsid w:val="001C1611"/>
    <w:rsid w:val="00210E77"/>
    <w:rsid w:val="003756B4"/>
    <w:rsid w:val="003816B1"/>
    <w:rsid w:val="00625267"/>
    <w:rsid w:val="0067223D"/>
    <w:rsid w:val="00785F44"/>
    <w:rsid w:val="007D734A"/>
    <w:rsid w:val="00841327"/>
    <w:rsid w:val="008A273E"/>
    <w:rsid w:val="008E4E7F"/>
    <w:rsid w:val="009A55C6"/>
    <w:rsid w:val="00AE41EB"/>
    <w:rsid w:val="00B52720"/>
    <w:rsid w:val="00B81B05"/>
    <w:rsid w:val="00B87D47"/>
    <w:rsid w:val="00BE2395"/>
    <w:rsid w:val="00D55A3F"/>
    <w:rsid w:val="00D6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832"/>
  <w15:docId w15:val="{298C6E15-F488-4F78-AF97-90A52BC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7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223D"/>
    <w:pPr>
      <w:ind w:left="720"/>
      <w:contextualSpacing/>
    </w:pPr>
  </w:style>
  <w:style w:type="paragraph" w:styleId="Footer">
    <w:name w:val="footer"/>
    <w:basedOn w:val="Normal"/>
    <w:link w:val="FooterChar"/>
    <w:uiPriority w:val="99"/>
    <w:unhideWhenUsed/>
    <w:rsid w:val="008E4E7F"/>
    <w:pPr>
      <w:tabs>
        <w:tab w:val="center" w:pos="4680"/>
        <w:tab w:val="right" w:pos="9360"/>
      </w:tabs>
      <w:spacing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8E4E7F"/>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 Spencer</dc:creator>
  <cp:lastModifiedBy>Jessi, Spencer</cp:lastModifiedBy>
  <cp:revision>6</cp:revision>
  <dcterms:created xsi:type="dcterms:W3CDTF">2022-09-13T13:31:00Z</dcterms:created>
  <dcterms:modified xsi:type="dcterms:W3CDTF">2022-09-13T17:20:00Z</dcterms:modified>
</cp:coreProperties>
</file>